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0"/>
          <w:szCs w:val="40"/>
        </w:rPr>
      </w:pP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2022年蓬江区“金九银十”房地产促销</w:t>
      </w:r>
    </w:p>
    <w:p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系列活动抽奖细则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一、抽奖时间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第一期活动抽奖，购房人于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2022年8月18日--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9月7日期间，在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参加促销活动的房企里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认购新建商品房（车位除外）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并完成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网签的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，将获得抽奖资格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，抽奖时间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拟定于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2022年9月10日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中秋节）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pStyle w:val="2"/>
        <w:tabs>
          <w:tab w:val="right" w:leader="dot" w:pos="8302"/>
        </w:tabs>
        <w:spacing w:line="576" w:lineRule="exact"/>
        <w:ind w:left="0" w:leftChars="0"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第二期活动抽奖，购房人于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2022年9月10日--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日期间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参加促销活动的房企里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认购新建商品房（车位除外）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并完成网签的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将获得抽奖资格，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抽奖时间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拟定于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2022年10月1日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国庆节）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第三期活动抽奖，购房人于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2022年10月1日--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日期间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参加促销活动的房企里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认购新建商品房（车位除外）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并完成网签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，将获得抽奖资格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，抽奖时间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拟定于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2022年11月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第四期活动抽奖，购房人于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2022年11月3日--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12月28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日期间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参加促销活动的房企里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认购新建商品房（车位除外）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并完成网签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，将获得抽奖资格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，抽奖时间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拟定于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2023年1月1日。</w:t>
      </w:r>
    </w:p>
    <w:p>
      <w:pPr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二、抽奖方式</w:t>
      </w:r>
    </w:p>
    <w:p>
      <w:pPr>
        <w:ind w:firstLine="640" w:firstLineChars="200"/>
        <w:rPr>
          <w:rFonts w:eastAsia="仿宋_GB231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在活动期间内认购并成功办理网签的购房人，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由房地产企业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提供购房人商品房买卖合同的合同编号名单，区房地产业协会对名单进行核对，</w:t>
      </w:r>
      <w:r>
        <w:rPr>
          <w:rFonts w:hint="eastAsia" w:ascii="仿宋_GB2312" w:eastAsia="仿宋_GB2312"/>
          <w:sz w:val="32"/>
          <w:szCs w:val="32"/>
          <w:highlight w:val="none"/>
        </w:rPr>
        <w:t>即可参与抽奖活动。抽奖方式设置为屏幕滚动抽奖。</w:t>
      </w:r>
    </w:p>
    <w:p>
      <w:pPr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三、活动奖品</w:t>
      </w:r>
    </w:p>
    <w:p>
      <w:pPr>
        <w:spacing w:line="576" w:lineRule="exact"/>
        <w:ind w:firstLine="640" w:firstLineChars="200"/>
        <w:rPr>
          <w:rFonts w:asci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奖品为消费券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（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一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）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第一、二、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三</w:t>
      </w:r>
      <w:r>
        <w:rPr>
          <w:rFonts w:hint="eastAsia" w:ascii="仿宋_GB2312" w:eastAsia="仿宋_GB2312" w:cs="仿宋"/>
          <w:sz w:val="32"/>
          <w:szCs w:val="32"/>
          <w:highlight w:val="none"/>
          <w:lang w:val="en-US" w:eastAsia="zh-CN"/>
        </w:rPr>
        <w:t>期抽奖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活动奖项设置如下：</w:t>
      </w:r>
    </w:p>
    <w:p>
      <w:pPr>
        <w:spacing w:line="560" w:lineRule="exact"/>
        <w:ind w:firstLine="640" w:firstLineChars="20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1.特等奖：两万元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（税前）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消费券，1名；</w:t>
      </w:r>
    </w:p>
    <w:p>
      <w:pPr>
        <w:spacing w:line="560" w:lineRule="exact"/>
        <w:ind w:firstLine="640" w:firstLineChars="20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2.一等奖：一万元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（税前）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消费券，3名；</w:t>
      </w:r>
    </w:p>
    <w:p>
      <w:pPr>
        <w:spacing w:line="560" w:lineRule="exact"/>
        <w:ind w:firstLine="640" w:firstLineChars="20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3.二等奖：五千元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（税前）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消费券，5名；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4.三等奖：一千元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（税前）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消费券，</w:t>
      </w:r>
      <w:r>
        <w:rPr>
          <w:rFonts w:hint="eastAsia" w:ascii="仿宋_GB2312" w:eastAsia="仿宋_GB2312" w:cs="仿宋"/>
          <w:sz w:val="32"/>
          <w:szCs w:val="32"/>
          <w:highlight w:val="none"/>
          <w:lang w:val="en-US" w:eastAsia="zh-CN"/>
        </w:rPr>
        <w:t>250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名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（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二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）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第四期抽奖活动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奖项设置如下：</w:t>
      </w:r>
    </w:p>
    <w:p>
      <w:pPr>
        <w:spacing w:line="560" w:lineRule="exact"/>
        <w:ind w:firstLine="640" w:firstLineChars="20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1.特等奖：两万元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（税前）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消费券，2名；</w:t>
      </w:r>
    </w:p>
    <w:p>
      <w:pPr>
        <w:spacing w:line="560" w:lineRule="exact"/>
        <w:ind w:firstLine="640" w:firstLineChars="20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2.一等奖：一万元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（税前）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消费券，6名；</w:t>
      </w:r>
    </w:p>
    <w:p>
      <w:pPr>
        <w:spacing w:line="560" w:lineRule="exact"/>
        <w:ind w:firstLine="640" w:firstLineChars="20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3.二等奖：五千元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（税前）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消费券，10名；</w:t>
      </w:r>
    </w:p>
    <w:p>
      <w:pPr>
        <w:spacing w:line="560" w:lineRule="exact"/>
        <w:ind w:firstLine="640" w:firstLineChars="200"/>
        <w:rPr>
          <w:rFonts w:ascii="仿宋_GB2312" w:eastAsia="仿宋_GB2312" w:cs="仿宋"/>
          <w:sz w:val="32"/>
          <w:szCs w:val="32"/>
          <w:highlight w:val="none"/>
        </w:rPr>
      </w:pPr>
      <w:r>
        <w:rPr>
          <w:rFonts w:hint="eastAsia" w:ascii="仿宋_GB2312" w:eastAsia="仿宋_GB2312" w:cs="仿宋"/>
          <w:sz w:val="32"/>
          <w:szCs w:val="32"/>
          <w:highlight w:val="none"/>
        </w:rPr>
        <w:t>4.三等奖：一千元</w:t>
      </w:r>
      <w:r>
        <w:rPr>
          <w:rFonts w:hint="eastAsia" w:ascii="仿宋_GB2312" w:eastAsia="仿宋_GB2312" w:cs="仿宋"/>
          <w:sz w:val="32"/>
          <w:szCs w:val="32"/>
          <w:highlight w:val="none"/>
          <w:lang w:eastAsia="zh-CN"/>
        </w:rPr>
        <w:t>（税前）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消费券，</w:t>
      </w:r>
      <w:r>
        <w:rPr>
          <w:rFonts w:hint="eastAsia" w:ascii="仿宋_GB2312" w:eastAsia="仿宋_GB2312" w:cs="仿宋"/>
          <w:sz w:val="32"/>
          <w:szCs w:val="32"/>
          <w:highlight w:val="none"/>
          <w:lang w:val="en-US" w:eastAsia="zh-CN"/>
        </w:rPr>
        <w:t>400</w:t>
      </w:r>
      <w:r>
        <w:rPr>
          <w:rFonts w:hint="eastAsia" w:ascii="仿宋_GB2312" w:eastAsia="仿宋_GB2312" w:cs="仿宋"/>
          <w:sz w:val="32"/>
          <w:szCs w:val="32"/>
          <w:highlight w:val="none"/>
        </w:rPr>
        <w:t>名。</w:t>
      </w:r>
    </w:p>
    <w:p>
      <w:pPr>
        <w:spacing w:line="560" w:lineRule="exact"/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MjA5YWM2MTg0NTZiMzM0ZDYwM2M5MWE4YjFiYzQifQ=="/>
  </w:docVars>
  <w:rsids>
    <w:rsidRoot w:val="00000000"/>
    <w:rsid w:val="1F931CF0"/>
    <w:rsid w:val="63D179CB"/>
    <w:rsid w:val="74D62C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  <w:rPr>
      <w:szCs w:val="24"/>
    </w:r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4"/>
    <w:qFormat/>
    <w:uiPriority w:val="99"/>
    <w:rPr>
      <w:sz w:val="18"/>
      <w:szCs w:val="18"/>
    </w:rPr>
  </w:style>
  <w:style w:type="character" w:customStyle="1" w:styleId="9">
    <w:name w:val="页眉 Char"/>
    <w:link w:val="5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654</Words>
  <Characters>712</Characters>
  <Paragraphs>24</Paragraphs>
  <TotalTime>38</TotalTime>
  <ScaleCrop>false</ScaleCrop>
  <LinksUpToDate>false</LinksUpToDate>
  <CharactersWithSpaces>713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2022-08-15T12:22:00Z</dcterms:created>
  <dc:creator>rong wen</dc:creator>
  <cp:lastModifiedBy>董志良</cp:lastModifiedBy>
  <dcterms:modified xsi:type="dcterms:W3CDTF">2022-08-18T00:58:51Z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8B6CA4F49B1140AFB8DAE3E4EEE6F1F8</vt:lpwstr>
  </property>
</Properties>
</file>