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500" w:lineRule="exact"/>
        <w:jc w:val="center"/>
        <w:rPr>
          <w:rFonts w:ascii="方正小标宋简体" w:hAnsi="宋体" w:eastAsia="方正小标宋简体" w:cs="宋体"/>
          <w:bCs/>
          <w:sz w:val="44"/>
          <w:szCs w:val="44"/>
        </w:rPr>
      </w:pPr>
    </w:p>
    <w:p>
      <w:pPr>
        <w:spacing w:line="10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江门市蓬江区荷塘镇国民经济与</w:t>
      </w:r>
    </w:p>
    <w:p>
      <w:pPr>
        <w:spacing w:line="1000" w:lineRule="exact"/>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社会发展“十四五”规划纲要</w:t>
      </w:r>
    </w:p>
    <w:p>
      <w:pPr>
        <w:widowControl/>
        <w:jc w:val="left"/>
        <w:rPr>
          <w:rFonts w:ascii="方正小标宋简体" w:hAnsi="宋体" w:eastAsia="方正小标宋简体" w:cs="宋体"/>
          <w:bCs/>
          <w:sz w:val="44"/>
          <w:szCs w:val="44"/>
        </w:rPr>
      </w:pPr>
      <w:r>
        <w:rPr>
          <w:rFonts w:ascii="方正小标宋简体" w:hAnsi="宋体" w:eastAsia="方正小标宋简体" w:cs="宋体"/>
          <w:bCs/>
          <w:sz w:val="44"/>
          <w:szCs w:val="44"/>
        </w:rPr>
        <w:br w:type="page"/>
      </w:r>
    </w:p>
    <w:p>
      <w:pPr>
        <w:spacing w:line="500" w:lineRule="exact"/>
        <w:rPr>
          <w:rFonts w:ascii="方正小标宋简体" w:hAnsi="宋体" w:eastAsia="方正小标宋简体" w:cs="宋体"/>
          <w:bCs/>
          <w:sz w:val="44"/>
          <w:szCs w:val="44"/>
        </w:rPr>
      </w:pPr>
    </w:p>
    <w:sdt>
      <w:sdtPr>
        <w:rPr>
          <w:rFonts w:asciiTheme="minorHAnsi" w:hAnsiTheme="minorHAnsi" w:eastAsiaTheme="minorEastAsia" w:cstheme="minorBidi"/>
          <w:b w:val="0"/>
          <w:bCs w:val="0"/>
          <w:color w:val="auto"/>
          <w:kern w:val="2"/>
          <w:sz w:val="21"/>
          <w:szCs w:val="22"/>
          <w:lang w:val="zh-CN"/>
        </w:rPr>
        <w:id w:val="1755310342"/>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20"/>
            <w:spacing w:line="360" w:lineRule="exact"/>
            <w:jc w:val="center"/>
            <w:rPr>
              <w:sz w:val="48"/>
            </w:rPr>
          </w:pPr>
          <w:r>
            <w:rPr>
              <w:sz w:val="48"/>
              <w:lang w:val="zh-CN"/>
            </w:rPr>
            <w:t>目录</w:t>
          </w:r>
        </w:p>
        <w:p>
          <w:pPr>
            <w:pStyle w:val="10"/>
            <w:tabs>
              <w:tab w:val="right" w:leader="dot" w:pos="8296"/>
            </w:tabs>
            <w:spacing w:line="360" w:lineRule="exact"/>
          </w:pPr>
        </w:p>
        <w:p>
          <w:pPr>
            <w:pStyle w:val="10"/>
            <w:tabs>
              <w:tab w:val="right" w:leader="dot" w:pos="8296"/>
            </w:tabs>
            <w:spacing w:line="360" w:lineRule="exact"/>
            <w:rPr>
              <w:kern w:val="2"/>
              <w:sz w:val="21"/>
            </w:rPr>
          </w:pPr>
          <w:r>
            <w:fldChar w:fldCharType="begin"/>
          </w:r>
          <w:r>
            <w:instrText xml:space="preserve"> TOC \o "1-3" \h \z \u </w:instrText>
          </w:r>
          <w:r>
            <w:fldChar w:fldCharType="separate"/>
          </w:r>
          <w:r>
            <w:fldChar w:fldCharType="begin"/>
          </w:r>
          <w:r>
            <w:instrText xml:space="preserve"> HYPERLINK \l "_Toc56692944" </w:instrText>
          </w:r>
          <w:r>
            <w:fldChar w:fldCharType="separate"/>
          </w:r>
          <w:r>
            <w:rPr>
              <w:rStyle w:val="14"/>
              <w:rFonts w:hint="eastAsia" w:ascii="黑体" w:hAnsi="黑体" w:eastAsia="黑体" w:cs="仿宋_GB2312"/>
            </w:rPr>
            <w:t>第一篇指导思想、主要目标和发展思路</w:t>
          </w:r>
          <w:r>
            <w:tab/>
          </w:r>
          <w:r>
            <w:fldChar w:fldCharType="begin"/>
          </w:r>
          <w:r>
            <w:instrText xml:space="preserve"> PAGEREF _Toc56692944 \h </w:instrText>
          </w:r>
          <w:r>
            <w:fldChar w:fldCharType="separate"/>
          </w:r>
          <w:r>
            <w:t>1</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"_Toc56692945" </w:instrText>
          </w:r>
          <w:r>
            <w:fldChar w:fldCharType="separate"/>
          </w:r>
          <w:r>
            <w:rPr>
              <w:rStyle w:val="14"/>
              <w:rFonts w:hint="eastAsia" w:ascii="黑体" w:hAnsi="黑体" w:eastAsia="黑体" w:cs="仿宋_GB2312"/>
            </w:rPr>
            <w:t>第一章发展环境</w:t>
          </w:r>
          <w:r>
            <w:tab/>
          </w:r>
          <w:r>
            <w:fldChar w:fldCharType="begin"/>
          </w:r>
          <w:r>
            <w:instrText xml:space="preserve"> PAGEREF _Toc56692945 \h </w:instrText>
          </w:r>
          <w:r>
            <w:fldChar w:fldCharType="separate"/>
          </w:r>
          <w:r>
            <w:t>1</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"_Toc56692946" </w:instrText>
          </w:r>
          <w:r>
            <w:fldChar w:fldCharType="separate"/>
          </w:r>
          <w:r>
            <w:rPr>
              <w:rStyle w:val="14"/>
              <w:rFonts w:hint="eastAsia" w:ascii="楷体" w:hAnsi="楷体" w:eastAsia="楷体" w:cs="仿宋_GB2312"/>
            </w:rPr>
            <w:t>第一节发展基础</w:t>
          </w:r>
          <w:r>
            <w:tab/>
          </w:r>
          <w:r>
            <w:fldChar w:fldCharType="begin"/>
          </w:r>
          <w:r>
            <w:instrText xml:space="preserve"> PAGEREF _Toc56692946 \h </w:instrText>
          </w:r>
          <w:r>
            <w:fldChar w:fldCharType="separate"/>
          </w:r>
          <w:r>
            <w:t>1</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"_Toc56692947" </w:instrText>
          </w:r>
          <w:r>
            <w:fldChar w:fldCharType="separate"/>
          </w:r>
          <w:r>
            <w:rPr>
              <w:rStyle w:val="14"/>
              <w:rFonts w:hint="eastAsia" w:ascii="楷体" w:hAnsi="楷体" w:eastAsia="楷体" w:cs="仿宋_GB2312"/>
            </w:rPr>
            <w:t>第二节存在问题</w:t>
          </w:r>
          <w:r>
            <w:tab/>
          </w:r>
          <w:r>
            <w:fldChar w:fldCharType="begin"/>
          </w:r>
          <w:r>
            <w:instrText xml:space="preserve"> PAGEREF _Toc56692947 \h </w:instrText>
          </w:r>
          <w:r>
            <w:fldChar w:fldCharType="separate"/>
          </w:r>
          <w:r>
            <w:t>10</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"_Toc56692948" </w:instrText>
          </w:r>
          <w:r>
            <w:fldChar w:fldCharType="separate"/>
          </w:r>
          <w:r>
            <w:rPr>
              <w:rStyle w:val="14"/>
              <w:rFonts w:hint="eastAsia" w:ascii="楷体" w:hAnsi="楷体" w:eastAsia="楷体" w:cs="仿宋_GB2312"/>
            </w:rPr>
            <w:t>第三节发展环境</w:t>
          </w:r>
          <w:r>
            <w:tab/>
          </w:r>
          <w:r>
            <w:fldChar w:fldCharType="begin"/>
          </w:r>
          <w:r>
            <w:instrText xml:space="preserve"> PAGEREF _Toc56692948 \h </w:instrText>
          </w:r>
          <w:r>
            <w:fldChar w:fldCharType="separate"/>
          </w:r>
          <w:r>
            <w:t>11</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"_Toc56692949" </w:instrText>
          </w:r>
          <w:r>
            <w:fldChar w:fldCharType="separate"/>
          </w:r>
          <w:r>
            <w:rPr>
              <w:rStyle w:val="14"/>
              <w:rFonts w:hint="eastAsia" w:ascii="黑体" w:hAnsi="黑体" w:eastAsia="黑体" w:cs="仿宋_GB2312"/>
            </w:rPr>
            <w:t>第二章指导思想、主要目标和发展思路</w:t>
          </w:r>
          <w:r>
            <w:tab/>
          </w:r>
          <w:r>
            <w:fldChar w:fldCharType="begin"/>
          </w:r>
          <w:r>
            <w:instrText xml:space="preserve"> PAGEREF _Toc56692949 \h </w:instrText>
          </w:r>
          <w:r>
            <w:fldChar w:fldCharType="separate"/>
          </w:r>
          <w:r>
            <w:t>12</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"_Toc56692950" </w:instrText>
          </w:r>
          <w:r>
            <w:fldChar w:fldCharType="separate"/>
          </w:r>
          <w:r>
            <w:rPr>
              <w:rStyle w:val="14"/>
              <w:rFonts w:hint="eastAsia" w:ascii="楷体" w:hAnsi="楷体" w:eastAsia="楷体" w:cs="仿宋_GB2312"/>
            </w:rPr>
            <w:t>第一节指导思想</w:t>
          </w:r>
          <w:r>
            <w:tab/>
          </w:r>
          <w:r>
            <w:fldChar w:fldCharType="begin"/>
          </w:r>
          <w:r>
            <w:instrText xml:space="preserve"> PAGEREF _Toc56692950 \h </w:instrText>
          </w:r>
          <w:r>
            <w:fldChar w:fldCharType="separate"/>
          </w:r>
          <w:r>
            <w:t>12</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"_Toc56692951" </w:instrText>
          </w:r>
          <w:r>
            <w:fldChar w:fldCharType="separate"/>
          </w:r>
          <w:r>
            <w:rPr>
              <w:rStyle w:val="14"/>
              <w:rFonts w:hint="eastAsia" w:ascii="楷体" w:hAnsi="楷体" w:eastAsia="楷体" w:cs="仿宋_GB2312"/>
            </w:rPr>
            <w:t>第二节主要目标</w:t>
          </w:r>
          <w:r>
            <w:tab/>
          </w:r>
          <w:r>
            <w:fldChar w:fldCharType="begin"/>
          </w:r>
          <w:r>
            <w:instrText xml:space="preserve"> PAGEREF _Toc56692951 \h </w:instrText>
          </w:r>
          <w:r>
            <w:fldChar w:fldCharType="separate"/>
          </w:r>
          <w:r>
            <w:t>12</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"_Toc56692952" </w:instrText>
          </w:r>
          <w:r>
            <w:fldChar w:fldCharType="separate"/>
          </w:r>
          <w:r>
            <w:rPr>
              <w:rStyle w:val="14"/>
              <w:rFonts w:hint="eastAsia" w:ascii="楷体" w:hAnsi="楷体" w:eastAsia="楷体" w:cs="仿宋_GB2312"/>
            </w:rPr>
            <w:t>第三节发展思路</w:t>
          </w:r>
          <w:r>
            <w:tab/>
          </w:r>
          <w:r>
            <w:fldChar w:fldCharType="begin"/>
          </w:r>
          <w:r>
            <w:instrText xml:space="preserve"> PAGEREF _Toc56692952 \h </w:instrText>
          </w:r>
          <w:r>
            <w:fldChar w:fldCharType="separate"/>
          </w:r>
          <w:r>
            <w:t>14</w:t>
          </w:r>
          <w:r>
            <w:fldChar w:fldCharType="end"/>
          </w:r>
          <w:r>
            <w:fldChar w:fldCharType="end"/>
          </w:r>
        </w:p>
        <w:p>
          <w:pPr>
            <w:pStyle w:val="10"/>
            <w:tabs>
              <w:tab w:val="right" w:leader="dot" w:pos="8296"/>
            </w:tabs>
            <w:spacing w:line="360" w:lineRule="exact"/>
            <w:rPr>
              <w:kern w:val="2"/>
              <w:sz w:val="21"/>
            </w:rPr>
          </w:pPr>
          <w:r>
            <w:fldChar w:fldCharType="begin"/>
          </w:r>
          <w:r>
            <w:instrText xml:space="preserve"> HYPERLINK \l "_Toc56692953" </w:instrText>
          </w:r>
          <w:r>
            <w:fldChar w:fldCharType="separate"/>
          </w:r>
          <w:r>
            <w:rPr>
              <w:rStyle w:val="14"/>
              <w:rFonts w:hint="eastAsia" w:ascii="黑体" w:hAnsi="黑体" w:eastAsia="黑体" w:cs="仿宋_GB2312"/>
            </w:rPr>
            <w:t>第二篇发展任务和重要举措</w:t>
          </w:r>
          <w:r>
            <w:tab/>
          </w:r>
          <w:r>
            <w:fldChar w:fldCharType="begin"/>
          </w:r>
          <w:r>
            <w:instrText xml:space="preserve"> PAGEREF _Toc56692953 \h </w:instrText>
          </w:r>
          <w:r>
            <w:fldChar w:fldCharType="separate"/>
          </w:r>
          <w:r>
            <w:t>14</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"_Toc56692954" </w:instrText>
          </w:r>
          <w:r>
            <w:fldChar w:fldCharType="separate"/>
          </w:r>
          <w:r>
            <w:rPr>
              <w:rStyle w:val="14"/>
              <w:rFonts w:hint="eastAsia" w:ascii="黑体" w:hAnsi="黑体" w:eastAsia="黑体" w:cs="仿宋_GB2312"/>
            </w:rPr>
            <w:t>第三章落实创新驱动战略，构建现代产业体系，实现高质量发展</w:t>
          </w:r>
          <w:r>
            <w:tab/>
          </w:r>
          <w:r>
            <w:fldChar w:fldCharType="begin"/>
          </w:r>
          <w:r>
            <w:instrText xml:space="preserve"> PAGEREF _Toc56692954 \h </w:instrText>
          </w:r>
          <w:r>
            <w:fldChar w:fldCharType="separate"/>
          </w:r>
          <w:r>
            <w:t>14</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"_Toc56692955" </w:instrText>
          </w:r>
          <w:r>
            <w:fldChar w:fldCharType="separate"/>
          </w:r>
          <w:r>
            <w:rPr>
              <w:rStyle w:val="14"/>
              <w:rFonts w:hint="eastAsia" w:ascii="楷体" w:hAnsi="楷体" w:eastAsia="楷体" w:cs="仿宋_GB2312"/>
            </w:rPr>
            <w:t>第一节坚持创新驱动发展，塑造发展新优势</w:t>
          </w:r>
          <w:r>
            <w:tab/>
          </w:r>
          <w:r>
            <w:fldChar w:fldCharType="begin"/>
          </w:r>
          <w:r>
            <w:instrText xml:space="preserve"> PAGEREF _Toc56692955 \h </w:instrText>
          </w:r>
          <w:r>
            <w:fldChar w:fldCharType="separate"/>
          </w:r>
          <w:r>
            <w:t>15</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"_Toc56692956" </w:instrText>
          </w:r>
          <w:r>
            <w:fldChar w:fldCharType="separate"/>
          </w:r>
          <w:r>
            <w:rPr>
              <w:rStyle w:val="14"/>
              <w:rFonts w:hint="eastAsia" w:ascii="楷体" w:hAnsi="楷体" w:eastAsia="楷体" w:cs="仿宋_GB2312"/>
            </w:rPr>
            <w:t>第二节构建发展现代产业体系，推动经济体系优化升级</w:t>
          </w:r>
          <w:r>
            <w:tab/>
          </w:r>
          <w:r>
            <w:fldChar w:fldCharType="begin"/>
          </w:r>
          <w:r>
            <w:instrText xml:space="preserve"> PAGEREF _Toc56692956 \h </w:instrText>
          </w:r>
          <w:r>
            <w:fldChar w:fldCharType="separate"/>
          </w:r>
          <w:r>
            <w:t>16</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"_Toc56692957" </w:instrText>
          </w:r>
          <w:r>
            <w:fldChar w:fldCharType="separate"/>
          </w:r>
          <w:r>
            <w:rPr>
              <w:rStyle w:val="14"/>
              <w:rFonts w:hint="eastAsia" w:ascii="黑体" w:hAnsi="黑体" w:eastAsia="黑体" w:cs="仿宋_GB2312"/>
            </w:rPr>
            <w:t>第四章扩大对外开放格局，全力融入粤港澳大湾区建设</w:t>
          </w:r>
          <w:r>
            <w:tab/>
          </w:r>
          <w:r>
            <w:fldChar w:fldCharType="begin"/>
          </w:r>
          <w:r>
            <w:instrText xml:space="preserve"> PAGEREF _Toc56692957 \h </w:instrText>
          </w:r>
          <w:r>
            <w:fldChar w:fldCharType="separate"/>
          </w:r>
          <w:r>
            <w:t>17</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"_Toc56692958" </w:instrText>
          </w:r>
          <w:r>
            <w:fldChar w:fldCharType="separate"/>
          </w:r>
          <w:r>
            <w:rPr>
              <w:rStyle w:val="14"/>
              <w:rFonts w:hint="eastAsia" w:ascii="楷体" w:hAnsi="楷体" w:eastAsia="楷体" w:cs="仿宋_GB2312"/>
            </w:rPr>
            <w:t>第一节加快建设对外开放发展合作平台</w:t>
          </w:r>
          <w:r>
            <w:tab/>
          </w:r>
          <w:r>
            <w:fldChar w:fldCharType="begin"/>
          </w:r>
          <w:r>
            <w:instrText xml:space="preserve"> PAGEREF _Toc56692958 \h </w:instrText>
          </w:r>
          <w:r>
            <w:fldChar w:fldCharType="separate"/>
          </w:r>
          <w:r>
            <w:t>18</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"_Toc56692959" </w:instrText>
          </w:r>
          <w:r>
            <w:fldChar w:fldCharType="separate"/>
          </w:r>
          <w:r>
            <w:rPr>
              <w:rStyle w:val="14"/>
              <w:rFonts w:hint="eastAsia" w:ascii="楷体" w:hAnsi="楷体" w:eastAsia="楷体" w:cs="仿宋_GB2312"/>
            </w:rPr>
            <w:t>第二节深入推进经济合作</w:t>
          </w:r>
          <w:r>
            <w:tab/>
          </w:r>
          <w:r>
            <w:fldChar w:fldCharType="begin"/>
          </w:r>
          <w:r>
            <w:instrText xml:space="preserve"> PAGEREF _Toc56692959 \h </w:instrText>
          </w:r>
          <w:r>
            <w:fldChar w:fldCharType="separate"/>
          </w:r>
          <w:r>
            <w:t>18</w:t>
          </w:r>
          <w:r>
            <w:fldChar w:fldCharType="end"/>
          </w:r>
          <w:r>
            <w:fldChar w:fldCharType="end"/>
          </w:r>
        </w:p>
        <w:p>
          <w:pPr>
            <w:pStyle w:val="6"/>
            <w:tabs>
              <w:tab w:val="right" w:leader="dot" w:pos="8296"/>
            </w:tabs>
            <w:spacing w:line="360" w:lineRule="exact"/>
            <w:rPr>
              <w:kern w:val="2"/>
              <w:sz w:val="21"/>
            </w:rPr>
          </w:pPr>
          <w:r>
            <w:fldChar w:fldCharType="begin"/>
          </w:r>
          <w:r>
            <w:instrText xml:space="preserve"> HYPERLINK \l "_Toc56692960" </w:instrText>
          </w:r>
          <w:r>
            <w:fldChar w:fldCharType="separate"/>
          </w:r>
          <w:r>
            <w:rPr>
              <w:rStyle w:val="14"/>
              <w:rFonts w:hint="eastAsia" w:ascii="楷体" w:hAnsi="楷体" w:eastAsia="楷体" w:cs="仿宋_GB2312"/>
            </w:rPr>
            <w:t>第三节加快推进“线上线下”交通建设</w:t>
          </w:r>
          <w:r>
            <w:tab/>
          </w:r>
          <w:r>
            <w:fldChar w:fldCharType="begin"/>
          </w:r>
          <w:r>
            <w:instrText xml:space="preserve"> PAGEREF _Toc56692960 \h </w:instrText>
          </w:r>
          <w:r>
            <w:fldChar w:fldCharType="separate"/>
          </w:r>
          <w:r>
            <w:t>19</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"_Toc56692961" </w:instrText>
          </w:r>
          <w:r>
            <w:fldChar w:fldCharType="separate"/>
          </w:r>
          <w:r>
            <w:rPr>
              <w:rStyle w:val="14"/>
              <w:rFonts w:hint="eastAsia" w:ascii="黑体" w:hAnsi="黑体" w:eastAsia="黑体" w:cs="仿宋_GB2312"/>
            </w:rPr>
            <w:t>第五章以乡村振兴为重要抓手，形成城乡融合发展新格局</w:t>
          </w:r>
          <w:r>
            <w:tab/>
          </w:r>
          <w:r>
            <w:fldChar w:fldCharType="begin"/>
          </w:r>
          <w:r>
            <w:instrText xml:space="preserve"> PAGEREF _Toc56692961 \h </w:instrText>
          </w:r>
          <w:r>
            <w:fldChar w:fldCharType="separate"/>
          </w:r>
          <w:r>
            <w:t>20</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"_Toc56692962" </w:instrText>
          </w:r>
          <w:r>
            <w:fldChar w:fldCharType="separate"/>
          </w:r>
          <w:r>
            <w:rPr>
              <w:rStyle w:val="14"/>
              <w:rFonts w:hint="eastAsia" w:ascii="黑体" w:hAnsi="黑体" w:eastAsia="黑体" w:cs="仿宋_GB2312"/>
            </w:rPr>
            <w:t>第六章协调推进社会文明、生态文明建设，促进人与自然和谐共生</w:t>
          </w:r>
          <w:r>
            <w:tab/>
          </w:r>
          <w:r>
            <w:fldChar w:fldCharType="begin"/>
          </w:r>
          <w:r>
            <w:instrText xml:space="preserve"> PAGEREF _Toc56692962 \h </w:instrText>
          </w:r>
          <w:r>
            <w:fldChar w:fldCharType="separate"/>
          </w:r>
          <w:r>
            <w:t>22</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"_Toc56692963" </w:instrText>
          </w:r>
          <w:r>
            <w:fldChar w:fldCharType="separate"/>
          </w:r>
          <w:r>
            <w:rPr>
              <w:rStyle w:val="14"/>
              <w:rFonts w:hint="eastAsia" w:ascii="黑体" w:hAnsi="黑体" w:eastAsia="黑体" w:cs="仿宋_GB2312"/>
            </w:rPr>
            <w:t>第七章加强公共服务，增进人民福祉</w:t>
          </w:r>
          <w:r>
            <w:tab/>
          </w:r>
          <w:r>
            <w:fldChar w:fldCharType="begin"/>
          </w:r>
          <w:r>
            <w:instrText xml:space="preserve"> PAGEREF _Toc56692963 \h </w:instrText>
          </w:r>
          <w:r>
            <w:fldChar w:fldCharType="separate"/>
          </w:r>
          <w:r>
            <w:t>23</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"_Toc56692964" </w:instrText>
          </w:r>
          <w:r>
            <w:fldChar w:fldCharType="separate"/>
          </w:r>
          <w:r>
            <w:rPr>
              <w:rStyle w:val="14"/>
              <w:rFonts w:hint="eastAsia" w:ascii="黑体" w:hAnsi="黑体" w:eastAsia="黑体" w:cs="仿宋_GB2312"/>
            </w:rPr>
            <w:t>第八章加强和创新社会治理，推进共建共治共享</w:t>
          </w:r>
          <w:r>
            <w:tab/>
          </w:r>
          <w:r>
            <w:fldChar w:fldCharType="begin"/>
          </w:r>
          <w:r>
            <w:instrText xml:space="preserve"> PAGEREF _Toc56692964 \h </w:instrText>
          </w:r>
          <w:r>
            <w:fldChar w:fldCharType="separate"/>
          </w:r>
          <w:r>
            <w:t>24</w:t>
          </w:r>
          <w:r>
            <w:fldChar w:fldCharType="end"/>
          </w:r>
          <w:r>
            <w:fldChar w:fldCharType="end"/>
          </w:r>
        </w:p>
        <w:p>
          <w:pPr>
            <w:pStyle w:val="10"/>
            <w:tabs>
              <w:tab w:val="right" w:leader="dot" w:pos="8296"/>
            </w:tabs>
            <w:spacing w:line="360" w:lineRule="exact"/>
            <w:rPr>
              <w:kern w:val="2"/>
              <w:sz w:val="21"/>
            </w:rPr>
          </w:pPr>
          <w:r>
            <w:fldChar w:fldCharType="begin"/>
          </w:r>
          <w:r>
            <w:instrText xml:space="preserve"> HYPERLINK \l "_Toc56692965" </w:instrText>
          </w:r>
          <w:r>
            <w:fldChar w:fldCharType="separate"/>
          </w:r>
          <w:r>
            <w:rPr>
              <w:rStyle w:val="14"/>
              <w:rFonts w:hint="eastAsia" w:ascii="黑体" w:hAnsi="黑体" w:eastAsia="黑体" w:cs="仿宋_GB2312"/>
            </w:rPr>
            <w:t>第三篇组织规划实施保障</w:t>
          </w:r>
          <w:r>
            <w:tab/>
          </w:r>
          <w:r>
            <w:fldChar w:fldCharType="begin"/>
          </w:r>
          <w:r>
            <w:instrText xml:space="preserve"> PAGEREF _Toc56692965 \h </w:instrText>
          </w:r>
          <w:r>
            <w:fldChar w:fldCharType="separate"/>
          </w:r>
          <w:r>
            <w:t>25</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"_Toc56692966" </w:instrText>
          </w:r>
          <w:r>
            <w:fldChar w:fldCharType="separate"/>
          </w:r>
          <w:r>
            <w:rPr>
              <w:rStyle w:val="14"/>
              <w:rFonts w:hint="eastAsia" w:ascii="黑体" w:hAnsi="黑体" w:eastAsia="黑体" w:cs="仿宋_GB2312"/>
            </w:rPr>
            <w:t>第九章强化党组织的领导核心作用</w:t>
          </w:r>
          <w:r>
            <w:tab/>
          </w:r>
          <w:r>
            <w:fldChar w:fldCharType="begin"/>
          </w:r>
          <w:r>
            <w:instrText xml:space="preserve"> PAGEREF _Toc56692966 \h </w:instrText>
          </w:r>
          <w:r>
            <w:fldChar w:fldCharType="separate"/>
          </w:r>
          <w:r>
            <w:t>25</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"_Toc56692967" </w:instrText>
          </w:r>
          <w:r>
            <w:fldChar w:fldCharType="separate"/>
          </w:r>
          <w:r>
            <w:rPr>
              <w:rStyle w:val="14"/>
              <w:rFonts w:hint="eastAsia" w:ascii="黑体" w:hAnsi="黑体" w:eastAsia="黑体" w:cs="仿宋_GB2312"/>
            </w:rPr>
            <w:t>第十章注重政府的引导实施作用</w:t>
          </w:r>
          <w:r>
            <w:tab/>
          </w:r>
          <w:r>
            <w:fldChar w:fldCharType="begin"/>
          </w:r>
          <w:r>
            <w:instrText xml:space="preserve"> PAGEREF _Toc56692967 \h </w:instrText>
          </w:r>
          <w:r>
            <w:fldChar w:fldCharType="separate"/>
          </w:r>
          <w:r>
            <w:t>25</w:t>
          </w:r>
          <w:r>
            <w:fldChar w:fldCharType="end"/>
          </w:r>
          <w:r>
            <w:fldChar w:fldCharType="end"/>
          </w:r>
        </w:p>
        <w:p>
          <w:pPr>
            <w:pStyle w:val="11"/>
            <w:tabs>
              <w:tab w:val="right" w:leader="dot" w:pos="8296"/>
            </w:tabs>
            <w:spacing w:line="360" w:lineRule="exact"/>
            <w:rPr>
              <w:kern w:val="2"/>
              <w:sz w:val="21"/>
            </w:rPr>
          </w:pPr>
          <w:r>
            <w:fldChar w:fldCharType="begin"/>
          </w:r>
          <w:r>
            <w:instrText xml:space="preserve"> HYPERLINK \l "_Toc56692968" </w:instrText>
          </w:r>
          <w:r>
            <w:fldChar w:fldCharType="separate"/>
          </w:r>
          <w:r>
            <w:rPr>
              <w:rStyle w:val="14"/>
              <w:rFonts w:hint="eastAsia" w:ascii="黑体" w:hAnsi="黑体" w:eastAsia="黑体" w:cs="仿宋_GB2312"/>
            </w:rPr>
            <w:t>第十一章发挥社会的主体落实作用</w:t>
          </w:r>
          <w:r>
            <w:tab/>
          </w:r>
          <w:r>
            <w:fldChar w:fldCharType="begin"/>
          </w:r>
          <w:r>
            <w:instrText xml:space="preserve"> PAGEREF _Toc56692968 \h </w:instrText>
          </w:r>
          <w:r>
            <w:fldChar w:fldCharType="separate"/>
          </w:r>
          <w:r>
            <w:t>26</w:t>
          </w:r>
          <w:r>
            <w:fldChar w:fldCharType="end"/>
          </w:r>
          <w:r>
            <w:fldChar w:fldCharType="end"/>
          </w:r>
        </w:p>
        <w:p>
          <w:pPr>
            <w:spacing w:line="360" w:lineRule="exact"/>
          </w:pPr>
          <w:r>
            <w:rPr>
              <w:b/>
              <w:bCs/>
              <w:lang w:val="zh-CN"/>
            </w:rPr>
            <w:fldChar w:fldCharType="end"/>
          </w:r>
        </w:p>
      </w:sdtContent>
    </w:sdt>
    <w:p>
      <w:pPr>
        <w:pStyle w:val="2"/>
        <w:spacing w:line="600" w:lineRule="exact"/>
        <w:ind w:firstLine="640" w:firstLineChars="200"/>
        <w:rPr>
          <w:rFonts w:ascii="黑体" w:hAnsi="黑体" w:eastAsia="黑体" w:cs="仿宋_GB2312"/>
          <w:b w:val="0"/>
          <w:sz w:val="32"/>
          <w:szCs w:val="32"/>
        </w:rPr>
        <w:sectPr>
          <w:footerReference r:id="rId3" w:type="default"/>
          <w:pgSz w:w="11906" w:h="16838"/>
          <w:pgMar w:top="1440" w:right="1800" w:bottom="1440" w:left="1800" w:header="851" w:footer="992" w:gutter="0"/>
          <w:pgNumType w:start="0"/>
          <w:cols w:space="425" w:num="1"/>
          <w:titlePg/>
          <w:docGrid w:type="lines" w:linePitch="312" w:charSpace="0"/>
        </w:sectPr>
      </w:pPr>
      <w:bookmarkStart w:id="0" w:name="_Toc56692944"/>
    </w:p>
    <w:p>
      <w:pPr>
        <w:pStyle w:val="2"/>
        <w:spacing w:line="600" w:lineRule="exact"/>
        <w:ind w:firstLine="640" w:firstLineChars="200"/>
        <w:rPr>
          <w:rFonts w:ascii="黑体" w:hAnsi="黑体" w:eastAsia="黑体" w:cs="仿宋_GB2312"/>
          <w:sz w:val="32"/>
          <w:szCs w:val="32"/>
        </w:rPr>
      </w:pPr>
      <w:r>
        <w:rPr>
          <w:rFonts w:hint="eastAsia" w:ascii="黑体" w:hAnsi="黑体" w:eastAsia="黑体" w:cs="仿宋_GB2312"/>
          <w:b w:val="0"/>
          <w:sz w:val="32"/>
          <w:szCs w:val="32"/>
        </w:rPr>
        <w:t xml:space="preserve">第一篇  </w:t>
      </w:r>
      <w:r>
        <w:rPr>
          <w:rFonts w:hint="eastAsia" w:ascii="黑体" w:hAnsi="黑体" w:eastAsia="黑体" w:cs="仿宋_GB2312"/>
          <w:sz w:val="32"/>
          <w:szCs w:val="32"/>
        </w:rPr>
        <w:t>指导思想、主要目标和发展思路</w:t>
      </w:r>
      <w:bookmarkEnd w:id="0"/>
    </w:p>
    <w:p>
      <w:pPr>
        <w:spacing w:line="600" w:lineRule="exact"/>
        <w:ind w:firstLine="640" w:firstLineChars="200"/>
        <w:rPr>
          <w:rFonts w:ascii="仿宋" w:hAnsi="仿宋" w:eastAsia="仿宋"/>
          <w:sz w:val="32"/>
          <w:szCs w:val="32"/>
        </w:rPr>
      </w:pPr>
      <w:r>
        <w:rPr>
          <w:rFonts w:hint="eastAsia" w:ascii="仿宋" w:hAnsi="仿宋" w:eastAsia="仿宋"/>
          <w:sz w:val="32"/>
          <w:szCs w:val="32"/>
        </w:rPr>
        <w:t>“十四五”时期是我国全面建成小康社会、实现第一个百年奋斗目标之后，乘势而上开启全面建设社会主义现代化国家新征程、向第二个百年奋斗目标进军的第一个五年，必须高举习近平新时代中国特色社会主义思想伟大旗帜，深入贯彻落实党中央、市、区的政策部署，统筹推进疫情防控和经济社会发展工作，在全面建成小康社会基础上走好全面建设社会主义现代化国家的第一步。</w:t>
      </w:r>
    </w:p>
    <w:p>
      <w:pPr>
        <w:pStyle w:val="3"/>
        <w:spacing w:line="600" w:lineRule="exact"/>
        <w:ind w:firstLine="640" w:firstLineChars="200"/>
        <w:rPr>
          <w:rFonts w:ascii="黑体" w:hAnsi="黑体" w:eastAsia="黑体" w:cs="仿宋_GB2312"/>
        </w:rPr>
      </w:pPr>
      <w:bookmarkStart w:id="1" w:name="_Toc56692945"/>
      <w:r>
        <w:rPr>
          <w:rFonts w:hint="eastAsia" w:ascii="黑体" w:hAnsi="黑体" w:eastAsia="黑体" w:cs="仿宋_GB2312"/>
          <w:b w:val="0"/>
        </w:rPr>
        <w:t>第一章  发展环境</w:t>
      </w:r>
      <w:bookmarkEnd w:id="1"/>
    </w:p>
    <w:p>
      <w:pPr>
        <w:ind w:firstLine="640" w:firstLineChars="200"/>
        <w:rPr>
          <w:rFonts w:ascii="仿宋" w:hAnsi="仿宋" w:eastAsia="仿宋"/>
          <w:sz w:val="32"/>
          <w:szCs w:val="32"/>
        </w:rPr>
      </w:pPr>
      <w:r>
        <w:rPr>
          <w:rFonts w:hint="eastAsia" w:ascii="仿宋" w:hAnsi="仿宋" w:eastAsia="仿宋"/>
          <w:sz w:val="32"/>
          <w:szCs w:val="32"/>
        </w:rPr>
        <w:t>“十三五”时期是我镇经济和社会发展取得重大成就的五年。荷塘镇委、镇政府带领全镇人民，以邓小平理论、“三个代表”重要思想、科学发展观和习近平新时代中国特色社会主义思想为指导，深入贯彻习近平总书记系列重要讲话精神，以转变经济发展方式为主线，以保障和改善民生为根本，以改革和创新为动力，促进经济、社会、环境的协调发展，较好完成了“十三五”规划确定的各项工作任务，经济社会发展取得显著成就。</w:t>
      </w:r>
    </w:p>
    <w:p>
      <w:pPr>
        <w:pStyle w:val="4"/>
        <w:ind w:firstLine="643" w:firstLineChars="200"/>
        <w:rPr>
          <w:rFonts w:ascii="楷体" w:hAnsi="楷体" w:eastAsia="楷体" w:cs="仿宋_GB2312"/>
        </w:rPr>
      </w:pPr>
      <w:bookmarkStart w:id="2" w:name="_Toc56692946"/>
      <w:r>
        <w:rPr>
          <w:rFonts w:hint="eastAsia" w:ascii="楷体" w:hAnsi="楷体" w:eastAsia="楷体" w:cs="仿宋_GB2312"/>
        </w:rPr>
        <w:t>第一节  发展基础</w:t>
      </w:r>
      <w:bookmarkEnd w:id="2"/>
    </w:p>
    <w:p>
      <w:pPr>
        <w:ind w:firstLine="418" w:firstLineChars="130"/>
        <w:rPr>
          <w:rFonts w:ascii="楷体" w:hAnsi="楷体" w:eastAsia="楷体" w:cs="仿宋_GB2312"/>
          <w:b/>
          <w:sz w:val="32"/>
          <w:szCs w:val="32"/>
        </w:rPr>
      </w:pPr>
      <w:r>
        <w:rPr>
          <w:rFonts w:hint="eastAsia" w:ascii="仿宋" w:hAnsi="仿宋" w:eastAsia="仿宋"/>
          <w:b/>
          <w:sz w:val="32"/>
          <w:szCs w:val="32"/>
        </w:rPr>
        <w:t>（一）国民经济保持健康发展态势</w:t>
      </w:r>
    </w:p>
    <w:p>
      <w:pPr>
        <w:ind w:firstLine="640" w:firstLineChars="200"/>
        <w:rPr>
          <w:rFonts w:ascii="仿宋" w:hAnsi="仿宋" w:eastAsia="仿宋"/>
          <w:sz w:val="32"/>
          <w:szCs w:val="32"/>
        </w:rPr>
      </w:pPr>
      <w:r>
        <w:rPr>
          <w:rFonts w:hint="eastAsia" w:ascii="仿宋" w:hAnsi="仿宋" w:eastAsia="仿宋"/>
          <w:sz w:val="32"/>
          <w:szCs w:val="32"/>
        </w:rPr>
        <w:t>2020年，全镇工业总产值达到71.9亿元，其中规模以上工业总产值</w:t>
      </w:r>
      <w:r>
        <w:rPr>
          <w:rFonts w:hint="eastAsia" w:ascii="仿宋_GB2312" w:eastAsia="仿宋_GB2312" w:cs="Times New Roman"/>
          <w:sz w:val="32"/>
          <w:szCs w:val="32"/>
        </w:rPr>
        <w:t>66.15</w:t>
      </w:r>
      <w:r>
        <w:rPr>
          <w:rFonts w:hint="eastAsia" w:ascii="仿宋" w:hAnsi="仿宋" w:eastAsia="仿宋"/>
          <w:sz w:val="32"/>
          <w:szCs w:val="32"/>
        </w:rPr>
        <w:t>亿元；规模以上工业增加值</w:t>
      </w:r>
      <w:r>
        <w:rPr>
          <w:rFonts w:hint="eastAsia" w:ascii="仿宋_GB2312" w:eastAsia="仿宋_GB2312" w:cs="Times New Roman"/>
          <w:sz w:val="32"/>
          <w:szCs w:val="32"/>
        </w:rPr>
        <w:t>12.4</w:t>
      </w:r>
      <w:r>
        <w:rPr>
          <w:rFonts w:hint="eastAsia" w:ascii="仿宋" w:hAnsi="仿宋" w:eastAsia="仿宋"/>
          <w:sz w:val="32"/>
          <w:szCs w:val="32"/>
        </w:rPr>
        <w:t>亿元；固定资产投资总额</w:t>
      </w:r>
      <w:r>
        <w:rPr>
          <w:rFonts w:hint="eastAsia" w:ascii="仿宋_GB2312" w:eastAsia="仿宋_GB2312" w:cs="Times New Roman"/>
          <w:sz w:val="32"/>
          <w:szCs w:val="32"/>
        </w:rPr>
        <w:t>11.43</w:t>
      </w:r>
      <w:r>
        <w:rPr>
          <w:rFonts w:hint="eastAsia" w:ascii="仿宋" w:hAnsi="仿宋" w:eastAsia="仿宋"/>
          <w:sz w:val="32"/>
          <w:szCs w:val="32"/>
        </w:rPr>
        <w:t>亿元；限上社会消费零售品总额</w:t>
      </w:r>
      <w:r>
        <w:rPr>
          <w:rFonts w:hint="eastAsia" w:ascii="仿宋_GB2312" w:eastAsia="仿宋_GB2312" w:cs="Times New Roman"/>
          <w:sz w:val="32"/>
          <w:szCs w:val="32"/>
        </w:rPr>
        <w:t>4.19</w:t>
      </w:r>
      <w:r>
        <w:rPr>
          <w:rFonts w:hint="eastAsia" w:ascii="仿宋" w:hAnsi="仿宋" w:eastAsia="仿宋"/>
          <w:sz w:val="32"/>
          <w:szCs w:val="32"/>
        </w:rPr>
        <w:t>亿元；实际利用外资</w:t>
      </w:r>
      <w:r>
        <w:rPr>
          <w:rFonts w:hint="eastAsia" w:ascii="仿宋_GB2312" w:eastAsia="仿宋_GB2312" w:cs="Times New Roman"/>
          <w:sz w:val="32"/>
          <w:szCs w:val="32"/>
        </w:rPr>
        <w:t>2116</w:t>
      </w:r>
      <w:r>
        <w:rPr>
          <w:rFonts w:hint="eastAsia" w:ascii="仿宋" w:hAnsi="仿宋" w:eastAsia="仿宋"/>
          <w:sz w:val="32"/>
          <w:szCs w:val="32"/>
        </w:rPr>
        <w:t>万美元；外贸进出口12.54亿元；一般公共预算收入</w:t>
      </w:r>
      <w:r>
        <w:rPr>
          <w:rFonts w:hint="eastAsia" w:ascii="仿宋_GB2312" w:eastAsia="仿宋_GB2312" w:cs="Times New Roman"/>
          <w:sz w:val="32"/>
          <w:szCs w:val="32"/>
        </w:rPr>
        <w:t>4896</w:t>
      </w:r>
      <w:r>
        <w:rPr>
          <w:rFonts w:hint="eastAsia" w:ascii="仿宋" w:hAnsi="仿宋" w:eastAsia="仿宋"/>
          <w:sz w:val="32"/>
          <w:szCs w:val="32"/>
        </w:rPr>
        <w:t>万元。</w:t>
      </w:r>
    </w:p>
    <w:p>
      <w:pPr>
        <w:ind w:firstLine="643" w:firstLineChars="200"/>
        <w:rPr>
          <w:rFonts w:ascii="仿宋" w:hAnsi="仿宋" w:eastAsia="仿宋"/>
          <w:sz w:val="32"/>
          <w:szCs w:val="32"/>
        </w:rPr>
      </w:pPr>
      <w:r>
        <w:rPr>
          <w:rFonts w:hint="eastAsia" w:ascii="仿宋" w:hAnsi="仿宋" w:eastAsia="仿宋"/>
          <w:b/>
          <w:sz w:val="32"/>
          <w:szCs w:val="32"/>
        </w:rPr>
        <w:t>1.做优做强传统产业，为经济发展蓄势发力。</w:t>
      </w:r>
      <w:r>
        <w:rPr>
          <w:rFonts w:hint="eastAsia" w:ascii="仿宋" w:hAnsi="仿宋" w:eastAsia="仿宋"/>
          <w:sz w:val="32"/>
          <w:szCs w:val="32"/>
        </w:rPr>
        <w:t>强化暖企安商，加强企业服务，宣贯扶持政策和措施，组织协助企业申报省级、市级上规模专项扶持、科技项目补助、高新技术企业奖补、技改奖补等各项扶持资金，助力企业发展壮大。鼓励、引导企业增资扩产，推动企业高成长。中泰纸品、霞光照明通过增资扩产，年产值得到极大的提升；汇海农牧增资扩产项目将建成为其位于江门的企业总部及研究中心；赛克斯为高威塑胶颜料有限公司增资扩产项目，建成后产值超1.2亿元。</w:t>
      </w:r>
    </w:p>
    <w:p>
      <w:pPr>
        <w:ind w:firstLine="643" w:firstLineChars="200"/>
        <w:rPr>
          <w:rFonts w:ascii="仿宋" w:hAnsi="仿宋" w:eastAsia="仿宋"/>
          <w:sz w:val="32"/>
          <w:szCs w:val="32"/>
        </w:rPr>
      </w:pPr>
      <w:r>
        <w:rPr>
          <w:rFonts w:hint="eastAsia" w:ascii="仿宋" w:hAnsi="仿宋" w:eastAsia="仿宋"/>
          <w:b/>
          <w:sz w:val="32"/>
          <w:szCs w:val="32"/>
        </w:rPr>
        <w:t>2.招商载体进一步扩展，招商引资取得显著成效。</w:t>
      </w:r>
      <w:r>
        <w:rPr>
          <w:rFonts w:hint="eastAsia" w:ascii="仿宋" w:hAnsi="仿宋" w:eastAsia="仿宋"/>
          <w:sz w:val="32"/>
          <w:szCs w:val="32"/>
        </w:rPr>
        <w:t>加强载体资源统筹，完成荷塘木棉围534.96亩土地征收工作，盘活因环保清退的大型空置厂房，改造性能老化、结构陈旧的旧厂房，成功引进基顺隆药用包装（一期投资6000万元）、深圳科技园江门园区（首期投资2.6亿元）、维龙物流（投资3.15亿元）、世通医疗（投资1.5亿元）、万洋众创城（投资8亿元）、长青皮革厂转混凝土项目（投资1亿元）等中大型企业项目。</w:t>
      </w:r>
    </w:p>
    <w:p>
      <w:pPr>
        <w:ind w:firstLine="643" w:firstLineChars="200"/>
        <w:rPr>
          <w:rFonts w:ascii="仿宋" w:hAnsi="仿宋" w:eastAsia="仿宋"/>
          <w:sz w:val="32"/>
          <w:szCs w:val="32"/>
        </w:rPr>
      </w:pPr>
      <w:r>
        <w:rPr>
          <w:rFonts w:hint="eastAsia" w:ascii="仿宋" w:hAnsi="仿宋" w:eastAsia="仿宋"/>
          <w:b/>
          <w:sz w:val="32"/>
          <w:szCs w:val="32"/>
        </w:rPr>
        <w:t>3.推进园区“三旧”改造步伐，努力打造江门示范点。</w:t>
      </w:r>
      <w:r>
        <w:rPr>
          <w:rFonts w:hint="eastAsia" w:ascii="仿宋" w:hAnsi="仿宋" w:eastAsia="仿宋"/>
          <w:sz w:val="32"/>
          <w:szCs w:val="32"/>
        </w:rPr>
        <w:t>盘活镇内村级工业园土地资源，推进园区“三旧”改造。深圳科技园江门园区项目首期占地68亩，基建投资2.5亿元，计容建筑面积13.2万平方米，于2020年3月动工建设，项目建成后，承接台港澳，对接广州、深圳等高科技产业的转移与互补，创新科技产业、金融软件、电子信息、医疗器械及低碳环保产业，致力成为江门市成长型企业最集中和产城融合发展的示范区域之一。蓬江荷塘万洋众创城作为我镇深入推进“三旧改造”和加快产业转型升级的重要突破口和示范点，项目总改造范围661亩。项目一期由江门蓬江荷塘万洋众创城科创有限公司投得，一期用地约145亩，建筑面积约29万平方米，计划投资8亿元，于7月28日举行启动仪式，重点发展光电照明、家居五金、汽车配件及新材料等产业，建设新型商贸服务及智能制造基地，致力将其打造成为江门村改市级示范项目。</w:t>
      </w:r>
    </w:p>
    <w:p>
      <w:pPr>
        <w:ind w:firstLine="643" w:firstLineChars="200"/>
        <w:rPr>
          <w:rFonts w:ascii="仿宋" w:hAnsi="仿宋" w:eastAsia="仿宋"/>
          <w:sz w:val="32"/>
          <w:szCs w:val="32"/>
        </w:rPr>
      </w:pPr>
      <w:r>
        <w:rPr>
          <w:rFonts w:hint="eastAsia" w:ascii="仿宋" w:hAnsi="仿宋" w:eastAsia="仿宋"/>
          <w:b/>
          <w:sz w:val="32"/>
          <w:szCs w:val="32"/>
        </w:rPr>
        <w:t>4.农村经济全面发展。</w:t>
      </w:r>
      <w:r>
        <w:rPr>
          <w:rFonts w:hint="eastAsia" w:ascii="仿宋" w:hAnsi="仿宋" w:eastAsia="仿宋"/>
          <w:sz w:val="32"/>
          <w:szCs w:val="32"/>
        </w:rPr>
        <w:t>2020年，农业总产值2.4亿元，是2015年的1.14倍，年均递增3.51%；农村集体经济总收入5723.03万元，年均增长8.77%。全镇所有村集体经济总收入全部超300万元，农村拥有集体物业面积超27万平方米。村镇基础设施建设方面，全镇各村共投入资金约3000万元，主要用于村道、巷道修造、卫生改造、基础设施配套建设、环境整治等方面。全面实施乡村振兴战略，推进三清三拆，立足乡村全面发展、融合发展、创新发展理念，全面推行人居环境整治专项行动，着力打造南村村为美丽宜居示范村、高村村为特色精品村。</w:t>
      </w:r>
    </w:p>
    <w:p>
      <w:pPr>
        <w:ind w:firstLine="643" w:firstLineChars="200"/>
        <w:rPr>
          <w:rFonts w:ascii="仿宋" w:hAnsi="仿宋" w:eastAsia="仿宋"/>
          <w:b/>
          <w:sz w:val="32"/>
          <w:szCs w:val="32"/>
        </w:rPr>
      </w:pPr>
      <w:r>
        <w:rPr>
          <w:rFonts w:hint="eastAsia" w:ascii="仿宋" w:hAnsi="仿宋" w:eastAsia="仿宋"/>
          <w:b/>
          <w:sz w:val="32"/>
          <w:szCs w:val="32"/>
        </w:rPr>
        <w:t>（二）基础设施建设步伐加快，城市面貌不断改善</w:t>
      </w:r>
    </w:p>
    <w:p>
      <w:pPr>
        <w:ind w:firstLine="643" w:firstLineChars="200"/>
        <w:rPr>
          <w:rFonts w:ascii="仿宋" w:hAnsi="仿宋" w:eastAsia="仿宋"/>
          <w:sz w:val="32"/>
          <w:szCs w:val="32"/>
        </w:rPr>
      </w:pPr>
      <w:r>
        <w:rPr>
          <w:rFonts w:hint="eastAsia" w:ascii="仿宋" w:hAnsi="仿宋" w:eastAsia="仿宋"/>
          <w:b/>
          <w:sz w:val="32"/>
          <w:szCs w:val="32"/>
        </w:rPr>
        <w:t>1.载体建设步伐加快，公共设施逐步完善。</w:t>
      </w:r>
      <w:r>
        <w:rPr>
          <w:rFonts w:hint="eastAsia" w:ascii="仿宋" w:hAnsi="仿宋" w:eastAsia="仿宋"/>
          <w:sz w:val="32"/>
          <w:szCs w:val="32"/>
        </w:rPr>
        <w:t>“十三五”期间，不断加大道路、公园、学校等公共设施投入，提升教育环境。投资285万元，完成了马山工业区新增排水管、绿化及路面修复工程、荷塘镇大坦路与瑞丰路交汇段人行道改造工程、荷塘镇新荷路至民丰路人行道改造工程、塔岗至六坊村道路维修项目、六坊村三坊桥涵改造工程等道路和桥涵升级改造；投资186万元完成龙田水闸侧道路路灯、集装箱厂至弘洋皮革厂段路灯工程、古镇围至荷塘大桥段路灯工程等的路灯安装工程；投资约320万元完成圩镇河滨公园一、二期改造及绿色化补（换）种工程、广中江高速荷塘出入口绿化工程、良村至顺成双回线路工程道路扩宽工程绿化项目等绿化建设。为提升我镇的教育环境，我镇先后投入了约1600万元，完成白藤小学校区建设工程、远昌小学运动场改造工程、良山小学运动场改造工程、荷塘中学教学楼改造工程等学校基础建设。</w:t>
      </w:r>
    </w:p>
    <w:p>
      <w:pPr>
        <w:ind w:firstLine="643" w:firstLineChars="200"/>
        <w:rPr>
          <w:rFonts w:ascii="仿宋" w:hAnsi="仿宋" w:eastAsia="仿宋"/>
          <w:sz w:val="32"/>
          <w:szCs w:val="32"/>
        </w:rPr>
      </w:pPr>
      <w:r>
        <w:rPr>
          <w:rFonts w:hint="eastAsia" w:ascii="仿宋" w:hAnsi="仿宋" w:eastAsia="仿宋"/>
          <w:b/>
          <w:sz w:val="32"/>
          <w:szCs w:val="32"/>
        </w:rPr>
        <w:t>2.深入推进环保整治，绿色经济发展初见成效。</w:t>
      </w:r>
      <w:r>
        <w:rPr>
          <w:rFonts w:hint="eastAsia" w:ascii="仿宋" w:hAnsi="仿宋" w:eastAsia="仿宋"/>
          <w:sz w:val="32"/>
          <w:szCs w:val="32"/>
        </w:rPr>
        <w:t>贯彻落实创新、协调、绿色、开放、共享的发展理念，坚决淘汰落后产能，目前已关停化工企业33家、玻璃企业15家、制革企业7家，1家搬迁企业限期搬迁，制革行业已经退出荷塘镇。综合力量整治“散乱污”企业，对排查发现存在严重污染的企业实施强制性断水断电设施，共出动18786人次，进行巡查9393企次，对546家企业实施了停水停电措施，双100%完成省级“散乱污”364家企业及市“散乱污”动态清单345家企业名单。完成一级水源保护区堤围外企业整治工作，</w:t>
      </w:r>
      <w:r>
        <w:rPr>
          <w:rFonts w:hint="eastAsia" w:ascii="仿宋_GB2312" w:hAnsi="仿宋_GB2312" w:eastAsia="仿宋_GB2312" w:cs="仿宋_GB2312"/>
          <w:sz w:val="32"/>
          <w:szCs w:val="32"/>
        </w:rPr>
        <w:t>中央环保督察“回头看”交办案件100%办结，市、区已解除对我镇重点环境问题的挂牌督办</w:t>
      </w:r>
      <w:r>
        <w:rPr>
          <w:rFonts w:hint="eastAsia" w:ascii="仿宋_GB2312" w:eastAsia="仿宋_GB2312" w:cs="黑体"/>
          <w:sz w:val="32"/>
          <w:szCs w:val="32"/>
        </w:rPr>
        <w:t>。</w:t>
      </w:r>
      <w:r>
        <w:rPr>
          <w:rFonts w:hint="eastAsia" w:ascii="仿宋" w:hAnsi="仿宋" w:eastAsia="仿宋"/>
          <w:sz w:val="32"/>
          <w:szCs w:val="32"/>
        </w:rPr>
        <w:t>深入开展针对固体废物“三个一”、“清废除患”等专项整治行动。深入落实全国污染源普查工作，完成入户清查企业4043家、入户普查1992家。做好禁燃区建设工作，完成荷塘镇内4家高污染燃料生产企业、38家高污染燃料使用企业及3家高污染燃料销售点的高污染燃料禁产禁用禁售。加强禁止露天焚烧行为的宣传，大大减少露天焚烧情况。</w:t>
      </w:r>
      <w:r>
        <w:rPr>
          <w:rFonts w:hint="eastAsia" w:ascii="仿宋_GB2312" w:hAnsi="仿宋_GB2312" w:eastAsia="仿宋_GB2312" w:cs="仿宋_GB2312"/>
          <w:sz w:val="32"/>
          <w:szCs w:val="32"/>
        </w:rPr>
        <w:t>对西江沿岸企业闲置或停止使用的烟囱进行依法拆除。</w:t>
      </w:r>
      <w:r>
        <w:rPr>
          <w:rFonts w:hint="eastAsia" w:ascii="仿宋" w:hAnsi="仿宋" w:eastAsia="仿宋"/>
          <w:sz w:val="32"/>
          <w:szCs w:val="32"/>
        </w:rPr>
        <w:t>落实河长制，扎实开展“五清”，开展三期截污管网项目建设，总投资1.8亿元，管道总长17200米，蓬江区黑臭水体治理二期（荷塘镇）工程正在敷设管网，荷塘污水处理厂三期用地已完成土地收储及拆迁补偿，正在办理供地手续。完成全国排污许可证核发238家发证企业、1712家登记管理企业工作任务。委托生态环境部华南环境科学研究所编写《蓬江区荷塘镇产业发展环境可行性研究报告》，执行新的企业环保准入清单，严管喷粉喷漆相关企业准入，鼓励喷粉喷漆共性工厂建设，引导企业有序投产。</w:t>
      </w:r>
    </w:p>
    <w:p>
      <w:pPr>
        <w:ind w:firstLine="643" w:firstLineChars="200"/>
        <w:rPr>
          <w:rFonts w:ascii="仿宋" w:hAnsi="仿宋" w:eastAsia="仿宋"/>
          <w:b/>
          <w:sz w:val="32"/>
          <w:szCs w:val="32"/>
        </w:rPr>
      </w:pPr>
      <w:r>
        <w:rPr>
          <w:rFonts w:hint="eastAsia" w:ascii="仿宋" w:hAnsi="仿宋" w:eastAsia="仿宋"/>
          <w:b/>
          <w:sz w:val="32"/>
          <w:szCs w:val="32"/>
        </w:rPr>
        <w:t>（三）民生不断改善，社会各项事业协调发展 </w:t>
      </w:r>
    </w:p>
    <w:p>
      <w:pPr>
        <w:ind w:firstLine="643" w:firstLineChars="200"/>
        <w:rPr>
          <w:rFonts w:ascii="仿宋" w:hAnsi="仿宋" w:eastAsia="仿宋"/>
          <w:sz w:val="32"/>
          <w:szCs w:val="32"/>
        </w:rPr>
      </w:pPr>
      <w:r>
        <w:rPr>
          <w:rFonts w:hint="eastAsia" w:ascii="仿宋" w:hAnsi="仿宋" w:eastAsia="仿宋"/>
          <w:b/>
          <w:sz w:val="32"/>
          <w:szCs w:val="32"/>
        </w:rPr>
        <w:t>1.着力落实民生保障，全力推进</w:t>
      </w:r>
      <w:r>
        <w:rPr>
          <w:rFonts w:hint="eastAsia" w:ascii="仿宋" w:hAnsi="仿宋" w:eastAsia="仿宋"/>
          <w:b/>
          <w:sz w:val="32"/>
          <w:szCs w:val="32"/>
          <w:lang w:eastAsia="zh-CN"/>
        </w:rPr>
        <w:t>脱</w:t>
      </w:r>
      <w:r>
        <w:rPr>
          <w:rFonts w:hint="eastAsia" w:ascii="仿宋" w:hAnsi="仿宋" w:eastAsia="仿宋"/>
          <w:b/>
          <w:sz w:val="32"/>
          <w:szCs w:val="32"/>
        </w:rPr>
        <w:t>贫攻坚。</w:t>
      </w:r>
      <w:r>
        <w:rPr>
          <w:rFonts w:hint="eastAsia" w:ascii="仿宋" w:hAnsi="仿宋" w:eastAsia="仿宋"/>
          <w:sz w:val="32"/>
          <w:szCs w:val="32"/>
        </w:rPr>
        <w:t>最低生活保障标准随着生活质量的提高而</w:t>
      </w:r>
      <w:r>
        <w:rPr>
          <w:rFonts w:hint="eastAsia" w:ascii="仿宋" w:hAnsi="仿宋" w:eastAsia="仿宋"/>
          <w:sz w:val="32"/>
          <w:szCs w:val="32"/>
          <w:lang w:eastAsia="zh-CN"/>
        </w:rPr>
        <w:t>不断提高</w:t>
      </w:r>
      <w:r>
        <w:rPr>
          <w:rFonts w:hint="eastAsia" w:ascii="仿宋" w:hAnsi="仿宋" w:eastAsia="仿宋"/>
          <w:sz w:val="32"/>
          <w:szCs w:val="32"/>
        </w:rPr>
        <w:t>，从2016年的600元逐年提高到2020年的900元，保障了困难群众的基本生活。“十三五”期间，我镇低保工作在保持动态管理下实施应保尽保的制度，还进行结对帮扶，在重大节日做好慰问工作，逐年增加发放慰问金及慰问品的数量，并每年在春、夏、冬季对低保和困难户给予粮食、衣被的救济，费用逐年增加。退役军人重大节日经费支出从2016年45万元增加到2020年49万元。五保、孤儿的生活得到安置，我镇现有在册五保户有3人，五保老人全部集中供养，每月生活费用标准从2016年1060元提升到2020年1360元，医疗费用全部由区、镇负担，孤儿每月的生活补助随着生活水平的提高而变动，2020年提高到每人每月1800元。提高镇敬老院管理水平，2018年敬老院被评为“广东省星级养老机构”。推进学校建设，荷塘中学改造宿舍楼和饭堂，推进科翔学校建设。加强沟通，推进荷塘卫生院新住院楼建设，协助办理土地手续，现已完成荷塘卫生院新住院楼选址公示流程，正在征求部门意见。我镇16户贫困户全部脱贫，目前正在加强跟踪遍访，防止因疫情影响返贫。</w:t>
      </w:r>
    </w:p>
    <w:p>
      <w:pPr>
        <w:ind w:firstLine="643" w:firstLineChars="200"/>
        <w:rPr>
          <w:rFonts w:ascii="仿宋" w:hAnsi="仿宋" w:eastAsia="仿宋"/>
          <w:sz w:val="32"/>
          <w:szCs w:val="32"/>
        </w:rPr>
      </w:pPr>
      <w:r>
        <w:rPr>
          <w:rFonts w:hint="eastAsia" w:ascii="仿宋" w:hAnsi="仿宋" w:eastAsia="仿宋"/>
          <w:b/>
          <w:sz w:val="32"/>
          <w:szCs w:val="32"/>
        </w:rPr>
        <w:t>2.“平安荷塘”进一步强化。</w:t>
      </w:r>
      <w:r>
        <w:rPr>
          <w:rFonts w:hint="eastAsia" w:ascii="仿宋" w:hAnsi="仿宋" w:eastAsia="仿宋"/>
          <w:sz w:val="32"/>
          <w:szCs w:val="32"/>
        </w:rPr>
        <w:t>深化“大调解”工作格局，充分发挥镇综治维稳中心、镇人民调解委员会、镇公共法律服务站等“一站式”多元解纷中心作用，运用矛盾纠纷“大调解”，落实“三调合一”，灵活运用各种方法和手段化解矛盾；落实开展一月两次集中排查制度，“十三五”期间，没有因矛盾纠纷调处不及时或不适当引发的非正常死亡、民转刑案件、群体性上访和群众性械斗事件的发生；深化在线接访平台建设，畅通12345信访平台、江门市网上信访信息系统等现有平台化解矛盾，及时掌握情况，高效便捷化解纠纷，“十三五”期间，平台案件办结率保持在98%以上。“党建+N全科网格”运作有序，将全镇细分成41个网格、81个微网格，赋予网格员包括平安建设、矛盾化解、普法宣传、综合治理等在内的职责；深入推进“雪亮工程”，完善社会治安防控体系建设，我镇现有视频监控点合计551个，其中467个已经接入到镇党建+N全科网格分中心，大大提升本镇在“技防”水平，夯实“平安村居”建设成果；全面铺开扫黑除恶专项斗争，加强线索摸排核查，推进线索核查、办结清零；精准打击黑恶势力，实现扫黑与“打伞破网”同频共振、同向发力；深化行业监督管理，积极开展重点行业、重点领域打击整治工作，实现从打击为主向打击、整治并重转变；禁毒工作有效开展，建设荷塘镇社康社戒中心</w:t>
      </w:r>
      <w:r>
        <w:rPr>
          <w:rFonts w:hint="eastAsia" w:ascii="仿宋_GB2312" w:eastAsia="仿宋_GB2312"/>
          <w:color w:val="000000"/>
          <w:kern w:val="0"/>
          <w:sz w:val="32"/>
          <w:szCs w:val="32"/>
        </w:rPr>
        <w:t>，荷塘中学开展创建“省级毒品预防教育示范学校”，</w:t>
      </w:r>
      <w:r>
        <w:rPr>
          <w:rFonts w:hint="eastAsia" w:ascii="仿宋" w:hAnsi="仿宋" w:eastAsia="仿宋"/>
          <w:sz w:val="32"/>
          <w:szCs w:val="32"/>
        </w:rPr>
        <w:t>以社区警务战略、大巡防战略为契机，布建严密的群防群治网络，对涉毒违法行为始终保持高压打击态势，打击有成效，目前荷塘镇社区戒毒（康复）站共有服务对象17人，其中社区戒毒12人，社区康复5人。开展法治宣传和民主法治村居建设，切实做好“谁执法、谁普法”工作任务，通过开展多元化宣传活动，提升法治宣传参与度；发挥校园宣传主阵地作用，加强民主法治村居建设。</w:t>
      </w:r>
    </w:p>
    <w:p>
      <w:pPr>
        <w:ind w:firstLine="643" w:firstLineChars="200"/>
        <w:rPr>
          <w:rFonts w:ascii="仿宋" w:hAnsi="仿宋" w:eastAsia="仿宋"/>
          <w:sz w:val="32"/>
          <w:szCs w:val="32"/>
        </w:rPr>
      </w:pPr>
      <w:r>
        <w:rPr>
          <w:rFonts w:hint="eastAsia" w:ascii="仿宋" w:hAnsi="仿宋" w:eastAsia="仿宋"/>
          <w:b/>
          <w:sz w:val="32"/>
          <w:szCs w:val="32"/>
        </w:rPr>
        <w:t>3.公共服务体制改革初见成效。</w:t>
      </w:r>
      <w:r>
        <w:rPr>
          <w:rFonts w:hint="eastAsia" w:ascii="仿宋" w:hAnsi="仿宋" w:eastAsia="仿宋"/>
          <w:sz w:val="32"/>
          <w:szCs w:val="32"/>
        </w:rPr>
        <w:t>紧紧围绕民生实事，认真履行职责，优化公共服务办理流程，全面扎实地推进公共服务体制改革。2020年5月，“一门式”系统接入江门市政务一体化平台，公共服务中心可办理的事项调整为12个部门的303项业务，涉及公安、人社、社保、卫计、民政、残联等部门。企业法人一门式已全面进驻荷塘镇公共服务中心,可提供359项业务办理。目前公共服务中心共设有11个窗口（5个综合窗口，5个公安窗口，1个企业法人窗口），形成自然人一门式和法人一门式共存共融的工作格局, 群众满意度100%。推行的“5+X”周六上午8：30—12：00的预约服务，为群众办理城乡医保、门诊定点、社保待遇年审、社保证明、企业法人、户政业务。全镇14个村（社区）全部建成村（居）公共服务站，共进驻9个部门84项业务,将民政、残联、计生等多个部门入驻并设立办公窗口，实行集中办公，统一管理，强化了基层组织的服务职能。“十三五”期间，公共服务中心共办理综合业务约9.7万件，公安业务约26万件，法人业务约9000件，村（居）公共服务站共办理业务约3600件。</w:t>
      </w:r>
    </w:p>
    <w:p>
      <w:pPr>
        <w:ind w:firstLine="643" w:firstLineChars="200"/>
        <w:rPr>
          <w:rFonts w:ascii="仿宋" w:hAnsi="仿宋" w:eastAsia="仿宋"/>
          <w:sz w:val="32"/>
          <w:szCs w:val="32"/>
        </w:rPr>
      </w:pPr>
      <w:r>
        <w:rPr>
          <w:rFonts w:hint="eastAsia" w:ascii="仿宋" w:hAnsi="仿宋" w:eastAsia="仿宋"/>
          <w:b/>
          <w:sz w:val="32"/>
          <w:szCs w:val="32"/>
        </w:rPr>
        <w:t>4.社会各项事业协调发展。</w:t>
      </w:r>
      <w:r>
        <w:rPr>
          <w:rFonts w:hint="eastAsia" w:ascii="仿宋" w:hAnsi="仿宋" w:eastAsia="仿宋"/>
          <w:sz w:val="32"/>
          <w:szCs w:val="32"/>
        </w:rPr>
        <w:t>深入开展优生、优育、优教三服务活动，强化了人口与计划生育综合治理，人口计生工作屡创佳绩，每年都顺利通过江门市的年终考核。“十三五”期间，共投入计生经费2300多万元，推动人口计生工作与时俱进。全面实施国家基本公共卫生服务项目，逐步提高我镇基本公共卫生服务项目人均经费补助标准，2020年人均补助提高至74元。</w:t>
      </w:r>
      <w:r>
        <w:rPr>
          <w:rFonts w:hint="eastAsia" w:ascii="仿宋_GB2312" w:hAnsi="仿宋_GB2312" w:eastAsia="仿宋_GB2312" w:cs="仿宋_GB2312"/>
          <w:sz w:val="32"/>
          <w:szCs w:val="32"/>
        </w:rPr>
        <w:t>全力做好疫情防控，荷塘镇辖区没有报告新冠肺炎确诊病例和无症状感染者。一级响应期间</w:t>
      </w:r>
      <w:r>
        <w:rPr>
          <w:rFonts w:ascii="仿宋_GB2312" w:hAnsi="仿宋_GB2312" w:eastAsia="仿宋_GB2312" w:cs="仿宋_GB2312"/>
          <w:sz w:val="32"/>
          <w:szCs w:val="32"/>
        </w:rPr>
        <w:t>设卡防控、严防死守</w:t>
      </w:r>
      <w:r>
        <w:rPr>
          <w:rFonts w:hint="eastAsia" w:ascii="仿宋_GB2312" w:hAnsi="仿宋_GB2312" w:eastAsia="仿宋_GB2312" w:cs="仿宋_GB2312"/>
          <w:sz w:val="32"/>
          <w:szCs w:val="32"/>
        </w:rPr>
        <w:t>，卡点排查</w:t>
      </w:r>
      <w:r>
        <w:rPr>
          <w:rFonts w:ascii="仿宋_GB2312" w:hAnsi="仿宋_GB2312" w:eastAsia="仿宋_GB2312" w:cs="仿宋_GB2312"/>
          <w:sz w:val="32"/>
          <w:szCs w:val="32"/>
        </w:rPr>
        <w:t>来往人员33373人次</w:t>
      </w:r>
      <w:r>
        <w:rPr>
          <w:rFonts w:hint="eastAsia" w:ascii="仿宋_GB2312" w:hAnsi="仿宋_GB2312" w:eastAsia="仿宋_GB2312" w:cs="仿宋_GB2312"/>
          <w:sz w:val="32"/>
          <w:szCs w:val="32"/>
        </w:rPr>
        <w:t>。发挥“三人小组”作用，落实常态化防控</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持续提升医疗服务水平，积极建设医联体，荷塘卫生院被评为国家“群众满意的乡镇卫生院”，推进荷塘卫生院新住院楼建设。</w:t>
      </w:r>
      <w:r>
        <w:rPr>
          <w:rFonts w:hint="eastAsia" w:ascii="仿宋" w:hAnsi="仿宋" w:eastAsia="仿宋"/>
          <w:sz w:val="32"/>
          <w:szCs w:val="32"/>
        </w:rPr>
        <w:t>进一步完善卫生应急物资储备体系，对接区突发公共卫生事件信息平台，做好重大传染病疫情等突发公共卫生事件应急处置等工作，提高对灾害事故的应急反应和医疗救援能力。贯彻落实爱国卫生运动并与创文、创卫和“三个一”的环境卫生整治制度，全面深入推进乡村振兴工作，镇容镇貌明显改善。社区内大街小巷全部硬底化，硬底化率98％以上，下水道覆盖率100％。加强环卫队伍建设和管理，深入开展生活垃圾分类，社区清扫保洁率达100％，垃圾清运处理率达100%。全镇已有33个行政村或自然村分别被评为省和市的卫生村。2019年顺利通过了省亿万农民健康促进行动示范镇复审，2020年8月顺利通过了江门市爱卫会代表省爱卫会组织的省灭鼠、灭蝇、灭蚊、灭蟑先进镇复审。荷塘镇被评为2018—2020年度广东省文明村镇，荷塘镇篁湾中心小学被评为2018-2020年度广东省文明校园。</w:t>
      </w:r>
    </w:p>
    <w:p>
      <w:pPr>
        <w:pStyle w:val="4"/>
        <w:ind w:firstLine="643" w:firstLineChars="200"/>
        <w:rPr>
          <w:rFonts w:ascii="楷体" w:hAnsi="楷体" w:eastAsia="楷体" w:cs="仿宋_GB2312"/>
        </w:rPr>
      </w:pPr>
      <w:bookmarkStart w:id="3" w:name="_Toc56692947"/>
      <w:r>
        <w:rPr>
          <w:rFonts w:hint="eastAsia" w:ascii="楷体" w:hAnsi="楷体" w:eastAsia="楷体" w:cs="仿宋_GB2312"/>
        </w:rPr>
        <w:t>第二节  存在问题</w:t>
      </w:r>
      <w:bookmarkEnd w:id="3"/>
    </w:p>
    <w:p>
      <w:pPr>
        <w:ind w:firstLine="643" w:firstLineChars="200"/>
        <w:rPr>
          <w:rFonts w:ascii="仿宋" w:hAnsi="仿宋" w:eastAsia="仿宋" w:cs="Times New Roman"/>
          <w:sz w:val="32"/>
          <w:szCs w:val="32"/>
        </w:rPr>
      </w:pPr>
      <w:r>
        <w:rPr>
          <w:rFonts w:hint="eastAsia" w:ascii="仿宋" w:hAnsi="仿宋" w:eastAsia="仿宋" w:cs="Times New Roman"/>
          <w:b/>
          <w:sz w:val="32"/>
          <w:szCs w:val="32"/>
        </w:rPr>
        <w:t>——经济发展增速缓慢。</w:t>
      </w:r>
      <w:r>
        <w:rPr>
          <w:rFonts w:hint="eastAsia" w:ascii="仿宋" w:hAnsi="仿宋" w:eastAsia="仿宋" w:cs="Times New Roman"/>
          <w:sz w:val="32"/>
          <w:szCs w:val="32"/>
        </w:rPr>
        <w:t>在产业转型升级阶段，存量企业下行压力大，工业经济增长压力较大。工业生产内生动力不足、增资扩产难，持续实现工业投资和技改投资快速增长较为困难。</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sz w:val="32"/>
          <w:szCs w:val="32"/>
        </w:rPr>
        <w:t>——载体“两规”不完善。</w:t>
      </w:r>
      <w:r>
        <w:rPr>
          <w:rFonts w:hint="eastAsia" w:ascii="仿宋" w:hAnsi="仿宋" w:eastAsia="仿宋" w:cs="Times New Roman"/>
          <w:sz w:val="32"/>
          <w:szCs w:val="32"/>
        </w:rPr>
        <w:t>土规城规制约，由于我镇未纳入江门市城市总体规划，未编控规，造成项目落地难，每宗项目需编制小单元控规。</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sz w:val="32"/>
          <w:szCs w:val="32"/>
        </w:rPr>
        <w:t>——基础配套设施欠缺。</w:t>
      </w:r>
      <w:r>
        <w:rPr>
          <w:rFonts w:hint="eastAsia" w:ascii="仿宋" w:hAnsi="仿宋" w:eastAsia="仿宋" w:cs="Times New Roman"/>
          <w:sz w:val="32"/>
          <w:szCs w:val="32"/>
        </w:rPr>
        <w:t>道路、绿化、公共设施等配套始建于90年代，基础设施落后及园区设施欠缺，对先进制造业的招商引资工作造成消极影响，尤其是道路交通运输无法满足日益增长的物流需要，发展吸引力和影响力不够，区域面貌有待改善。</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sz w:val="32"/>
          <w:szCs w:val="32"/>
        </w:rPr>
        <w:t>——新旧动能转换衔接力度弱。</w:t>
      </w:r>
      <w:r>
        <w:rPr>
          <w:rFonts w:hint="eastAsia" w:ascii="仿宋" w:hAnsi="仿宋" w:eastAsia="仿宋" w:cs="Times New Roman"/>
          <w:sz w:val="32"/>
          <w:szCs w:val="32"/>
        </w:rPr>
        <w:t>经济发展的传统路径依赖仍然明显，产业层次不高，传统产业转型升级仍处于爬坡越坎阶段，新引进的投资项目企业等新经济总量少、规模偏弱，未能形成新的经济增长点，“出入”悬差大，稳增长压力加大，市场信心有待进一步提振。</w:t>
      </w:r>
    </w:p>
    <w:p>
      <w:pPr>
        <w:spacing w:line="600" w:lineRule="exact"/>
        <w:ind w:firstLine="643" w:firstLineChars="200"/>
        <w:rPr>
          <w:rFonts w:ascii="仿宋" w:hAnsi="仿宋" w:eastAsia="仿宋"/>
          <w:sz w:val="32"/>
          <w:szCs w:val="32"/>
        </w:rPr>
      </w:pPr>
      <w:r>
        <w:rPr>
          <w:rFonts w:hint="eastAsia" w:ascii="仿宋" w:hAnsi="仿宋" w:eastAsia="仿宋" w:cs="Times New Roman"/>
          <w:b/>
          <w:sz w:val="32"/>
          <w:szCs w:val="32"/>
        </w:rPr>
        <w:t>——产业创新能力不足。</w:t>
      </w:r>
      <w:r>
        <w:rPr>
          <w:rFonts w:hint="eastAsia" w:ascii="仿宋" w:hAnsi="仿宋" w:eastAsia="仿宋" w:cs="Times New Roman"/>
          <w:sz w:val="32"/>
          <w:szCs w:val="32"/>
        </w:rPr>
        <w:t>我镇产业多以</w:t>
      </w:r>
      <w:r>
        <w:rPr>
          <w:rFonts w:hint="eastAsia" w:ascii="仿宋" w:hAnsi="仿宋" w:eastAsia="仿宋"/>
          <w:sz w:val="32"/>
          <w:szCs w:val="32"/>
        </w:rPr>
        <w:t>加工生产、贴牌生产为主，创新资源缺乏，工业企业生产类型为劳动密集型，生产方式单一，缺乏一定的技术创新能力，企业研发支出比重较低，自主研发设计能力不足。</w:t>
      </w:r>
    </w:p>
    <w:p>
      <w:pPr>
        <w:spacing w:line="600" w:lineRule="exact"/>
        <w:ind w:firstLine="643" w:firstLineChars="200"/>
        <w:rPr>
          <w:rFonts w:ascii="仿宋" w:hAnsi="仿宋" w:eastAsia="仿宋"/>
          <w:sz w:val="32"/>
          <w:szCs w:val="32"/>
        </w:rPr>
      </w:pPr>
      <w:r>
        <w:rPr>
          <w:rFonts w:hint="eastAsia" w:ascii="仿宋" w:hAnsi="仿宋" w:eastAsia="仿宋" w:cs="Times New Roman"/>
          <w:b/>
          <w:sz w:val="32"/>
          <w:szCs w:val="32"/>
        </w:rPr>
        <w:t>——社会环境治理有待改善。</w:t>
      </w:r>
      <w:r>
        <w:rPr>
          <w:rFonts w:hint="eastAsia" w:ascii="仿宋" w:hAnsi="仿宋" w:eastAsia="仿宋"/>
          <w:sz w:val="32"/>
          <w:szCs w:val="32"/>
        </w:rPr>
        <w:t>生态环境整治需进一步增强，加强“散乱污”治理，黑臭水体治理的压力较大。</w:t>
      </w:r>
      <w:r>
        <w:rPr>
          <w:rFonts w:hint="eastAsia" w:ascii="仿宋_GB2312" w:eastAsia="仿宋_GB2312"/>
          <w:kern w:val="0"/>
          <w:sz w:val="32"/>
          <w:szCs w:val="32"/>
        </w:rPr>
        <w:t>公共服务还有短板，教育、医疗、出行等方面与群众期盼还有差距；劳资纠纷、安全生产、环保整治等方面还存在引发社会矛盾的隐患。</w:t>
      </w:r>
    </w:p>
    <w:p>
      <w:pPr>
        <w:pStyle w:val="4"/>
        <w:ind w:firstLine="643" w:firstLineChars="200"/>
        <w:rPr>
          <w:rFonts w:ascii="楷体" w:hAnsi="楷体" w:eastAsia="楷体" w:cs="仿宋_GB2312"/>
        </w:rPr>
      </w:pPr>
      <w:bookmarkStart w:id="4" w:name="_Toc56692948"/>
      <w:r>
        <w:rPr>
          <w:rFonts w:hint="eastAsia" w:ascii="楷体" w:hAnsi="楷体" w:eastAsia="楷体" w:cs="仿宋_GB2312"/>
        </w:rPr>
        <w:t>第三节  发展环境</w:t>
      </w:r>
      <w:bookmarkEnd w:id="4"/>
    </w:p>
    <w:p>
      <w:pPr>
        <w:ind w:firstLine="640" w:firstLineChars="200"/>
        <w:rPr>
          <w:rFonts w:ascii="仿宋" w:hAnsi="仿宋" w:eastAsia="仿宋"/>
          <w:sz w:val="32"/>
          <w:szCs w:val="32"/>
        </w:rPr>
      </w:pPr>
      <w:r>
        <w:rPr>
          <w:rFonts w:hint="eastAsia" w:ascii="仿宋" w:hAnsi="仿宋" w:eastAsia="仿宋"/>
          <w:sz w:val="32"/>
          <w:szCs w:val="32"/>
        </w:rPr>
        <w:t>“十四五”时期，受新型冠状病毒肺炎疫情影响，国内外发展环境竞争激烈程度只增不减。</w:t>
      </w:r>
      <w:r>
        <w:rPr>
          <w:rFonts w:ascii="仿宋" w:hAnsi="仿宋" w:eastAsia="仿宋"/>
          <w:sz w:val="32"/>
          <w:szCs w:val="32"/>
        </w:rPr>
        <w:t>经济发展面临新的风险挑战，国内经济下行压力加大</w:t>
      </w:r>
      <w:r>
        <w:rPr>
          <w:rFonts w:hint="eastAsia" w:ascii="仿宋" w:hAnsi="仿宋" w:eastAsia="仿宋"/>
          <w:sz w:val="32"/>
          <w:szCs w:val="32"/>
        </w:rPr>
        <w:t>。</w:t>
      </w:r>
      <w:r>
        <w:rPr>
          <w:rFonts w:ascii="仿宋" w:hAnsi="仿宋" w:eastAsia="仿宋"/>
          <w:sz w:val="32"/>
          <w:szCs w:val="32"/>
        </w:rPr>
        <w:t>从外部环境看，</w:t>
      </w:r>
      <w:r>
        <w:rPr>
          <w:rFonts w:hint="eastAsia" w:ascii="仿宋" w:hAnsi="仿宋" w:eastAsia="仿宋"/>
          <w:sz w:val="32"/>
          <w:szCs w:val="32"/>
        </w:rPr>
        <w:t>国际环境日趋复杂，国际贸易摩擦愈演愈烈</w:t>
      </w:r>
      <w:r>
        <w:rPr>
          <w:rFonts w:ascii="仿宋" w:hAnsi="仿宋" w:eastAsia="仿宋"/>
          <w:sz w:val="32"/>
          <w:szCs w:val="32"/>
        </w:rPr>
        <w:t>，地缘政治不稳定和经济运行风险加大</w:t>
      </w:r>
      <w:r>
        <w:rPr>
          <w:rFonts w:hint="eastAsia" w:ascii="仿宋" w:hAnsi="仿宋" w:eastAsia="仿宋"/>
          <w:sz w:val="32"/>
          <w:szCs w:val="32"/>
        </w:rPr>
        <w:t>，不确定因素明细增加</w:t>
      </w:r>
      <w:r>
        <w:rPr>
          <w:rFonts w:ascii="仿宋" w:hAnsi="仿宋" w:eastAsia="仿宋"/>
          <w:sz w:val="32"/>
          <w:szCs w:val="32"/>
        </w:rPr>
        <w:t>。从内部环境看，</w:t>
      </w:r>
      <w:r>
        <w:rPr>
          <w:rFonts w:hint="eastAsia" w:ascii="仿宋" w:hAnsi="仿宋" w:eastAsia="仿宋"/>
          <w:sz w:val="32"/>
          <w:szCs w:val="32"/>
        </w:rPr>
        <w:t>产业转移升级以适应新的经济发展要求</w:t>
      </w:r>
      <w:r>
        <w:rPr>
          <w:rFonts w:ascii="仿宋" w:hAnsi="仿宋" w:eastAsia="仿宋"/>
          <w:sz w:val="32"/>
          <w:szCs w:val="32"/>
        </w:rPr>
        <w:t>，经济运行面临着新的下行压力，实体经济困难</w:t>
      </w:r>
      <w:r>
        <w:rPr>
          <w:rFonts w:hint="eastAsia" w:ascii="仿宋" w:hAnsi="仿宋" w:eastAsia="仿宋"/>
          <w:sz w:val="32"/>
          <w:szCs w:val="32"/>
        </w:rPr>
        <w:t>重重</w:t>
      </w:r>
      <w:r>
        <w:rPr>
          <w:rFonts w:ascii="仿宋" w:hAnsi="仿宋" w:eastAsia="仿宋"/>
          <w:sz w:val="32"/>
          <w:szCs w:val="32"/>
        </w:rPr>
        <w:t>，</w:t>
      </w:r>
      <w:r>
        <w:rPr>
          <w:rFonts w:hint="eastAsia" w:ascii="仿宋" w:hAnsi="仿宋" w:eastAsia="仿宋"/>
          <w:sz w:val="32"/>
          <w:szCs w:val="32"/>
        </w:rPr>
        <w:t>重点领域关键环节改革任务仍然艰巨，生态环保任重道远，民生保障存在短板，社会治理还有弱项</w:t>
      </w:r>
      <w:r>
        <w:rPr>
          <w:rFonts w:ascii="仿宋" w:hAnsi="仿宋" w:eastAsia="仿宋"/>
          <w:sz w:val="32"/>
          <w:szCs w:val="32"/>
        </w:rPr>
        <w:t>。国内的固有矛盾与外部的不确定性叠加，极易形成共振效应，对经济持续稳定发展带来挑战和压力。</w:t>
      </w:r>
    </w:p>
    <w:p>
      <w:pPr>
        <w:pStyle w:val="3"/>
        <w:spacing w:line="600" w:lineRule="exact"/>
        <w:ind w:firstLine="640" w:firstLineChars="200"/>
        <w:rPr>
          <w:rFonts w:ascii="黑体" w:hAnsi="黑体" w:eastAsia="黑体" w:cs="仿宋_GB2312"/>
          <w:b w:val="0"/>
        </w:rPr>
      </w:pPr>
      <w:bookmarkStart w:id="5" w:name="_Toc56692949"/>
      <w:r>
        <w:rPr>
          <w:rFonts w:hint="eastAsia" w:ascii="黑体" w:hAnsi="黑体" w:eastAsia="黑体" w:cs="仿宋_GB2312"/>
          <w:b w:val="0"/>
        </w:rPr>
        <w:t>第二章  指导思想、主要目标和发展思路</w:t>
      </w:r>
      <w:bookmarkEnd w:id="5"/>
    </w:p>
    <w:p>
      <w:pPr>
        <w:pStyle w:val="4"/>
        <w:ind w:firstLine="643" w:firstLineChars="200"/>
        <w:rPr>
          <w:rFonts w:ascii="楷体" w:hAnsi="楷体" w:eastAsia="楷体" w:cs="仿宋_GB2312"/>
        </w:rPr>
      </w:pPr>
      <w:bookmarkStart w:id="6" w:name="_Toc56692950"/>
      <w:r>
        <w:rPr>
          <w:rFonts w:hint="eastAsia" w:ascii="楷体" w:hAnsi="楷体" w:eastAsia="楷体" w:cs="仿宋_GB2312"/>
        </w:rPr>
        <w:t>第一节  指导思想</w:t>
      </w:r>
      <w:bookmarkEnd w:id="6"/>
    </w:p>
    <w:p>
      <w:pPr>
        <w:ind w:firstLine="640" w:firstLineChars="200"/>
        <w:rPr>
          <w:rFonts w:ascii="仿宋" w:hAnsi="仿宋" w:eastAsia="仿宋"/>
          <w:sz w:val="32"/>
          <w:szCs w:val="32"/>
        </w:rPr>
      </w:pPr>
      <w:r>
        <w:rPr>
          <w:rFonts w:hint="eastAsia" w:ascii="仿宋" w:hAnsi="仿宋" w:eastAsia="仿宋"/>
          <w:sz w:val="32"/>
          <w:szCs w:val="32"/>
        </w:rPr>
        <w:t>高举习近平新时代中国特色社会主义思想伟大旗帜，全面贯彻党的十九大和十九届二中、三中、四中、五中全会以及全国两会精神，深入学习贯彻习近平总书记关于粤港澳大湾区建设的重要论述和对广东重要讲话、重要指示批示精神，认真落实省委“1+1+9”工作部署和市委“1+1+5”工作举措，紧扣全面建成社会主义现代化目标任务，统筹推进疫情防控和经济社会发展工作，在疫情防控常态化前提下，坚定不移贯彻新发展理念，坚持稳中求进工作总基调，以推动高质量发展为主题，以深化供给侧结构性改革为主线，以改革创新为根本动力，全力以赴做好“六稳”“六保”工作，加快融入粤港澳大湾区建设，全力推动中心城区产城融合示范区建设，实现经济行稳致远、社会安定和谐，为全面建设社会主义现代化开好局、起好步。</w:t>
      </w:r>
    </w:p>
    <w:p>
      <w:pPr>
        <w:pStyle w:val="4"/>
        <w:ind w:firstLine="643" w:firstLineChars="200"/>
        <w:rPr>
          <w:rFonts w:ascii="楷体" w:hAnsi="楷体" w:eastAsia="楷体" w:cs="仿宋_GB2312"/>
        </w:rPr>
      </w:pPr>
      <w:bookmarkStart w:id="7" w:name="_Toc56692951"/>
      <w:r>
        <w:rPr>
          <w:rFonts w:hint="eastAsia" w:ascii="楷体" w:hAnsi="楷体" w:eastAsia="楷体" w:cs="仿宋_GB2312"/>
        </w:rPr>
        <w:t>第二节  主要目标</w:t>
      </w:r>
      <w:bookmarkEnd w:id="7"/>
    </w:p>
    <w:p>
      <w:pPr>
        <w:ind w:firstLine="640" w:firstLineChars="200"/>
        <w:rPr>
          <w:rFonts w:ascii="仿宋" w:hAnsi="仿宋" w:eastAsia="仿宋"/>
          <w:sz w:val="32"/>
          <w:szCs w:val="32"/>
        </w:rPr>
      </w:pPr>
      <w:r>
        <w:rPr>
          <w:rFonts w:hint="eastAsia" w:ascii="仿宋" w:hAnsi="仿宋" w:eastAsia="仿宋"/>
          <w:sz w:val="32"/>
          <w:szCs w:val="32"/>
        </w:rPr>
        <w:t>充分利用江门、中山、佛山三市交会的区位优势，拓展深化产业合作，打造区域高端产业融合发展新平台，提升蓬江“东大门”硬实力，建设大湾区产业合作桥头堡示范区；大力推进村级工业园升级改造，与人才岛协同联动发展，创新驱动培育新产品、新企业、新产业、新经济的科技小镇，建设城市提质发展示范区；打造生态优美、乡村富丽、人文灿烂、社会和谐、人民幸福安康，高质量发展的西江明珠。</w:t>
      </w:r>
    </w:p>
    <w:p>
      <w:pPr>
        <w:ind w:firstLine="640" w:firstLineChars="200"/>
        <w:rPr>
          <w:rFonts w:ascii="仿宋" w:hAnsi="仿宋" w:eastAsia="仿宋"/>
          <w:sz w:val="32"/>
          <w:szCs w:val="32"/>
        </w:rPr>
      </w:pPr>
      <w:r>
        <w:rPr>
          <w:rFonts w:hint="eastAsia" w:ascii="仿宋" w:hAnsi="仿宋" w:eastAsia="仿宋"/>
          <w:sz w:val="32"/>
          <w:szCs w:val="32"/>
        </w:rPr>
        <w:t>“十四五”时期我镇要努力实现以下经济社会发展主要目标：经济综合实力明显增强，2025年，规模以上工业总产值106.54亿元，年均增长10.00%；规模以上工业增加值19.97亿元，年均增长10.00%；固定资产投资总额18.41亿元，年均增长10.00%；限上社会消费品零售总额6.75亿元，年均增长10.00%；实际利用外资3407.84万美元，年均递增10.00%；外贸进出口20.20亿元人民币，年均增速10.00%；公共财政预算收入7885.06万元，年均增速10.00%。</w:t>
      </w:r>
    </w:p>
    <w:tbl>
      <w:tblPr>
        <w:tblStyle w:val="12"/>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3007"/>
        <w:gridCol w:w="1024"/>
        <w:gridCol w:w="1080"/>
        <w:gridCol w:w="1162"/>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360" w:type="dxa"/>
            <w:gridSpan w:val="6"/>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荷塘镇</w:t>
            </w:r>
            <w:r>
              <w:rPr>
                <w:rFonts w:ascii="宋体" w:hAnsi="宋体" w:eastAsia="宋体" w:cs="宋体"/>
                <w:b/>
                <w:bCs/>
                <w:kern w:val="0"/>
                <w:sz w:val="22"/>
              </w:rPr>
              <w:t>“</w:t>
            </w:r>
            <w:r>
              <w:rPr>
                <w:rFonts w:hint="eastAsia" w:ascii="宋体" w:hAnsi="宋体" w:eastAsia="宋体" w:cs="宋体"/>
                <w:b/>
                <w:bCs/>
                <w:kern w:val="0"/>
                <w:sz w:val="22"/>
              </w:rPr>
              <w:t>十四五</w:t>
            </w:r>
            <w:r>
              <w:rPr>
                <w:rFonts w:ascii="宋体" w:hAnsi="宋体" w:eastAsia="宋体" w:cs="宋体"/>
                <w:b/>
                <w:bCs/>
                <w:kern w:val="0"/>
                <w:sz w:val="22"/>
              </w:rPr>
              <w:t>”</w:t>
            </w:r>
            <w:r>
              <w:rPr>
                <w:rFonts w:hint="eastAsia" w:ascii="宋体" w:hAnsi="宋体" w:eastAsia="宋体" w:cs="宋体"/>
                <w:b/>
                <w:bCs/>
                <w:kern w:val="0"/>
                <w:sz w:val="22"/>
              </w:rPr>
              <w:t>规划经济社会发展主要指标预测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138" w:type="dxa"/>
            <w:gridSpan w:val="2"/>
            <w:shd w:val="clear" w:color="auto" w:fill="auto"/>
            <w:vAlign w:val="center"/>
          </w:tcPr>
          <w:p>
            <w:pPr>
              <w:widowControl/>
              <w:jc w:val="center"/>
              <w:rPr>
                <w:rFonts w:ascii="宋体" w:hAnsi="宋体" w:eastAsia="宋体" w:cs="宋体"/>
                <w:b/>
                <w:kern w:val="0"/>
                <w:sz w:val="20"/>
                <w:szCs w:val="20"/>
              </w:rPr>
            </w:pPr>
            <w:r>
              <w:rPr>
                <w:rFonts w:hint="eastAsia" w:ascii="宋体" w:hAnsi="宋体" w:eastAsia="宋体" w:cs="宋体"/>
                <w:b/>
                <w:kern w:val="0"/>
                <w:sz w:val="20"/>
                <w:szCs w:val="20"/>
              </w:rPr>
              <w:t>主要经济指标</w:t>
            </w:r>
          </w:p>
        </w:tc>
        <w:tc>
          <w:tcPr>
            <w:tcW w:w="1024" w:type="dxa"/>
            <w:shd w:val="clear" w:color="auto" w:fill="auto"/>
            <w:vAlign w:val="center"/>
          </w:tcPr>
          <w:p>
            <w:pPr>
              <w:widowControl/>
              <w:jc w:val="center"/>
              <w:rPr>
                <w:rFonts w:ascii="宋体" w:hAnsi="宋体" w:eastAsia="宋体" w:cs="宋体"/>
                <w:b/>
                <w:kern w:val="0"/>
                <w:sz w:val="20"/>
                <w:szCs w:val="20"/>
              </w:rPr>
            </w:pPr>
            <w:r>
              <w:rPr>
                <w:rFonts w:ascii="宋体" w:hAnsi="宋体" w:eastAsia="宋体" w:cs="宋体"/>
                <w:b/>
                <w:kern w:val="0"/>
                <w:sz w:val="20"/>
                <w:szCs w:val="20"/>
              </w:rPr>
              <w:t>2020</w:t>
            </w:r>
            <w:r>
              <w:rPr>
                <w:rFonts w:hint="eastAsia" w:ascii="宋体" w:hAnsi="宋体" w:eastAsia="宋体" w:cs="宋体"/>
                <w:b/>
                <w:kern w:val="0"/>
                <w:sz w:val="20"/>
                <w:szCs w:val="20"/>
              </w:rPr>
              <w:t>年</w:t>
            </w:r>
          </w:p>
        </w:tc>
        <w:tc>
          <w:tcPr>
            <w:tcW w:w="1080" w:type="dxa"/>
            <w:shd w:val="clear" w:color="auto" w:fill="auto"/>
            <w:vAlign w:val="center"/>
          </w:tcPr>
          <w:p>
            <w:pPr>
              <w:widowControl/>
              <w:jc w:val="center"/>
              <w:rPr>
                <w:rFonts w:ascii="宋体" w:hAnsi="宋体" w:eastAsia="宋体" w:cs="宋体"/>
                <w:b/>
                <w:kern w:val="0"/>
                <w:sz w:val="20"/>
                <w:szCs w:val="20"/>
              </w:rPr>
            </w:pPr>
            <w:r>
              <w:rPr>
                <w:rFonts w:ascii="宋体" w:hAnsi="宋体" w:eastAsia="宋体" w:cs="宋体"/>
                <w:b/>
                <w:kern w:val="0"/>
                <w:sz w:val="20"/>
                <w:szCs w:val="20"/>
              </w:rPr>
              <w:t>2025</w:t>
            </w:r>
            <w:r>
              <w:rPr>
                <w:rFonts w:hint="eastAsia" w:ascii="宋体" w:hAnsi="宋体" w:eastAsia="宋体" w:cs="宋体"/>
                <w:b/>
                <w:kern w:val="0"/>
                <w:sz w:val="20"/>
                <w:szCs w:val="20"/>
              </w:rPr>
              <w:t>年</w:t>
            </w:r>
          </w:p>
        </w:tc>
        <w:tc>
          <w:tcPr>
            <w:tcW w:w="1162" w:type="dxa"/>
            <w:shd w:val="clear" w:color="auto" w:fill="auto"/>
            <w:vAlign w:val="center"/>
          </w:tcPr>
          <w:p>
            <w:pPr>
              <w:widowControl/>
              <w:jc w:val="center"/>
              <w:rPr>
                <w:rFonts w:ascii="宋体" w:hAnsi="宋体" w:eastAsia="宋体" w:cs="宋体"/>
                <w:b/>
                <w:kern w:val="0"/>
                <w:sz w:val="20"/>
                <w:szCs w:val="20"/>
              </w:rPr>
            </w:pPr>
            <w:r>
              <w:rPr>
                <w:rFonts w:hint="eastAsia" w:ascii="宋体" w:hAnsi="宋体" w:eastAsia="宋体" w:cs="宋体"/>
                <w:b/>
                <w:kern w:val="0"/>
                <w:sz w:val="20"/>
                <w:szCs w:val="20"/>
              </w:rPr>
              <w:t>年均增速</w:t>
            </w:r>
          </w:p>
        </w:tc>
        <w:tc>
          <w:tcPr>
            <w:tcW w:w="956" w:type="dxa"/>
            <w:shd w:val="clear" w:color="auto" w:fill="auto"/>
            <w:vAlign w:val="center"/>
          </w:tcPr>
          <w:p>
            <w:pPr>
              <w:widowControl/>
              <w:jc w:val="center"/>
              <w:rPr>
                <w:rFonts w:ascii="宋体" w:hAnsi="宋体" w:eastAsia="宋体" w:cs="宋体"/>
                <w:b/>
                <w:kern w:val="0"/>
                <w:sz w:val="20"/>
                <w:szCs w:val="20"/>
              </w:rPr>
            </w:pPr>
            <w:r>
              <w:rPr>
                <w:rFonts w:hint="eastAsia" w:ascii="宋体" w:hAnsi="宋体" w:eastAsia="宋体" w:cs="宋体"/>
                <w:b/>
                <w:kern w:val="0"/>
                <w:sz w:val="20"/>
                <w:szCs w:val="20"/>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31"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1.工业生产值，</w:t>
            </w:r>
            <w:r>
              <w:rPr>
                <w:rFonts w:ascii="宋体" w:hAnsi="宋体" w:eastAsia="宋体" w:cs="宋体"/>
                <w:kern w:val="0"/>
                <w:sz w:val="20"/>
                <w:szCs w:val="20"/>
              </w:rPr>
              <w:t>其中：</w:t>
            </w:r>
          </w:p>
        </w:tc>
        <w:tc>
          <w:tcPr>
            <w:tcW w:w="3007" w:type="dxa"/>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1.1</w:t>
            </w:r>
            <w:r>
              <w:rPr>
                <w:rFonts w:hint="eastAsia" w:ascii="宋体" w:hAnsi="宋体" w:eastAsia="宋体" w:cs="宋体"/>
                <w:kern w:val="0"/>
                <w:sz w:val="20"/>
                <w:szCs w:val="20"/>
              </w:rPr>
              <w:t>规模以上工业总产值（亿元）</w:t>
            </w:r>
          </w:p>
        </w:tc>
        <w:tc>
          <w:tcPr>
            <w:tcW w:w="1024" w:type="dxa"/>
            <w:shd w:val="clear" w:color="auto" w:fill="auto"/>
            <w:noWrap/>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66.15</w:t>
            </w:r>
          </w:p>
        </w:tc>
        <w:tc>
          <w:tcPr>
            <w:tcW w:w="1080"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106.54</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131" w:type="dxa"/>
            <w:vMerge w:val="continue"/>
            <w:vAlign w:val="center"/>
          </w:tcPr>
          <w:p>
            <w:pPr>
              <w:widowControl/>
              <w:jc w:val="left"/>
              <w:rPr>
                <w:rFonts w:ascii="宋体" w:hAnsi="宋体" w:eastAsia="宋体" w:cs="宋体"/>
                <w:kern w:val="0"/>
                <w:sz w:val="20"/>
                <w:szCs w:val="20"/>
              </w:rPr>
            </w:pPr>
          </w:p>
        </w:tc>
        <w:tc>
          <w:tcPr>
            <w:tcW w:w="3007" w:type="dxa"/>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1.2</w:t>
            </w:r>
            <w:r>
              <w:rPr>
                <w:rFonts w:hint="eastAsia" w:ascii="宋体" w:hAnsi="宋体" w:eastAsia="宋体" w:cs="宋体"/>
                <w:kern w:val="0"/>
                <w:sz w:val="20"/>
                <w:szCs w:val="20"/>
              </w:rPr>
              <w:t>规模以上工业增加值（亿元）</w:t>
            </w:r>
          </w:p>
        </w:tc>
        <w:tc>
          <w:tcPr>
            <w:tcW w:w="1024" w:type="dxa"/>
            <w:shd w:val="clear" w:color="auto" w:fill="auto"/>
            <w:noWrap/>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 xml:space="preserve">12.4 </w:t>
            </w:r>
          </w:p>
        </w:tc>
        <w:tc>
          <w:tcPr>
            <w:tcW w:w="1080"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19.97</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138" w:type="dxa"/>
            <w:gridSpan w:val="2"/>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2.</w:t>
            </w:r>
            <w:r>
              <w:rPr>
                <w:rFonts w:hint="eastAsia" w:ascii="宋体" w:hAnsi="宋体" w:eastAsia="宋体" w:cs="宋体"/>
                <w:kern w:val="0"/>
                <w:sz w:val="20"/>
                <w:szCs w:val="20"/>
              </w:rPr>
              <w:t>固定资产投资总额（亿元）</w:t>
            </w:r>
          </w:p>
        </w:tc>
        <w:tc>
          <w:tcPr>
            <w:tcW w:w="1024"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11.43</w:t>
            </w:r>
          </w:p>
        </w:tc>
        <w:tc>
          <w:tcPr>
            <w:tcW w:w="1080"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18.41</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138" w:type="dxa"/>
            <w:gridSpan w:val="2"/>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3.</w:t>
            </w:r>
            <w:r>
              <w:rPr>
                <w:rFonts w:hint="eastAsia" w:ascii="宋体" w:hAnsi="宋体" w:eastAsia="宋体" w:cs="宋体"/>
                <w:kern w:val="0"/>
                <w:sz w:val="20"/>
                <w:szCs w:val="20"/>
              </w:rPr>
              <w:t>限上社会消费品零售总额（亿元）</w:t>
            </w:r>
          </w:p>
        </w:tc>
        <w:tc>
          <w:tcPr>
            <w:tcW w:w="1024"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4.1</w:t>
            </w:r>
            <w:r>
              <w:rPr>
                <w:rFonts w:hint="eastAsia" w:ascii="Times New Roman" w:hAnsi="Times New Roman" w:cs="Times New Roman"/>
                <w:sz w:val="20"/>
                <w:szCs w:val="20"/>
              </w:rPr>
              <w:t>9</w:t>
            </w:r>
          </w:p>
        </w:tc>
        <w:tc>
          <w:tcPr>
            <w:tcW w:w="1080"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6.7</w:t>
            </w:r>
            <w:r>
              <w:rPr>
                <w:rFonts w:hint="eastAsia" w:ascii="Times New Roman" w:hAnsi="Times New Roman" w:cs="Times New Roman"/>
                <w:sz w:val="20"/>
                <w:szCs w:val="20"/>
              </w:rPr>
              <w:t>5</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138" w:type="dxa"/>
            <w:gridSpan w:val="2"/>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4.</w:t>
            </w:r>
            <w:r>
              <w:rPr>
                <w:rFonts w:hint="eastAsia" w:ascii="宋体" w:hAnsi="宋体" w:eastAsia="宋体" w:cs="宋体"/>
                <w:kern w:val="0"/>
                <w:sz w:val="20"/>
                <w:szCs w:val="20"/>
              </w:rPr>
              <w:t>实际利用外资（万美元）</w:t>
            </w:r>
          </w:p>
        </w:tc>
        <w:tc>
          <w:tcPr>
            <w:tcW w:w="1024"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2116.00</w:t>
            </w:r>
          </w:p>
        </w:tc>
        <w:tc>
          <w:tcPr>
            <w:tcW w:w="1080" w:type="dxa"/>
            <w:shd w:val="clear" w:color="auto" w:fill="auto"/>
            <w:vAlign w:val="center"/>
          </w:tcPr>
          <w:p>
            <w:pPr>
              <w:jc w:val="center"/>
              <w:rPr>
                <w:rFonts w:ascii="Times New Roman" w:hAnsi="Times New Roman" w:eastAsia="宋体" w:cs="Times New Roman"/>
                <w:sz w:val="20"/>
                <w:szCs w:val="20"/>
              </w:rPr>
            </w:pPr>
            <w:r>
              <w:rPr>
                <w:rFonts w:hint="eastAsia" w:ascii="Times New Roman" w:hAnsi="Times New Roman" w:cs="Times New Roman"/>
                <w:sz w:val="20"/>
                <w:szCs w:val="20"/>
              </w:rPr>
              <w:t>3407.84</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138" w:type="dxa"/>
            <w:gridSpan w:val="2"/>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5.</w:t>
            </w:r>
            <w:r>
              <w:rPr>
                <w:rFonts w:hint="eastAsia" w:ascii="宋体" w:hAnsi="宋体" w:eastAsia="宋体" w:cs="宋体"/>
                <w:kern w:val="0"/>
                <w:sz w:val="20"/>
                <w:szCs w:val="20"/>
              </w:rPr>
              <w:t>外贸进出口（亿元人民币）</w:t>
            </w:r>
          </w:p>
        </w:tc>
        <w:tc>
          <w:tcPr>
            <w:tcW w:w="1024"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 xml:space="preserve">12.54 </w:t>
            </w:r>
          </w:p>
        </w:tc>
        <w:tc>
          <w:tcPr>
            <w:tcW w:w="1080"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 xml:space="preserve">20.20 </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138" w:type="dxa"/>
            <w:gridSpan w:val="2"/>
            <w:shd w:val="clear" w:color="auto" w:fill="auto"/>
            <w:vAlign w:val="center"/>
          </w:tcPr>
          <w:p>
            <w:pPr>
              <w:widowControl/>
              <w:jc w:val="left"/>
              <w:rPr>
                <w:rFonts w:ascii="宋体" w:hAnsi="宋体" w:eastAsia="宋体" w:cs="宋体"/>
                <w:kern w:val="0"/>
                <w:sz w:val="20"/>
                <w:szCs w:val="20"/>
              </w:rPr>
            </w:pPr>
            <w:r>
              <w:rPr>
                <w:rFonts w:ascii="宋体" w:hAnsi="宋体" w:eastAsia="宋体" w:cs="宋体"/>
                <w:kern w:val="0"/>
                <w:sz w:val="20"/>
                <w:szCs w:val="20"/>
              </w:rPr>
              <w:t>6.</w:t>
            </w:r>
            <w:r>
              <w:rPr>
                <w:rFonts w:hint="eastAsia" w:ascii="宋体" w:hAnsi="宋体" w:eastAsia="宋体" w:cs="宋体"/>
                <w:kern w:val="0"/>
                <w:sz w:val="20"/>
                <w:szCs w:val="20"/>
              </w:rPr>
              <w:t>公共财政预算收入（万元）</w:t>
            </w:r>
          </w:p>
        </w:tc>
        <w:tc>
          <w:tcPr>
            <w:tcW w:w="1024"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4</w:t>
            </w:r>
            <w:r>
              <w:rPr>
                <w:rFonts w:hint="eastAsia" w:ascii="Times New Roman" w:hAnsi="Times New Roman" w:cs="Times New Roman"/>
                <w:sz w:val="20"/>
                <w:szCs w:val="20"/>
              </w:rPr>
              <w:t>896</w:t>
            </w:r>
            <w:r>
              <w:rPr>
                <w:rFonts w:ascii="Times New Roman" w:hAnsi="Times New Roman" w:cs="Times New Roman"/>
                <w:sz w:val="20"/>
                <w:szCs w:val="20"/>
              </w:rPr>
              <w:t xml:space="preserve">.00 </w:t>
            </w:r>
          </w:p>
        </w:tc>
        <w:tc>
          <w:tcPr>
            <w:tcW w:w="1080"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7</w:t>
            </w:r>
            <w:r>
              <w:rPr>
                <w:rFonts w:hint="eastAsia" w:ascii="Times New Roman" w:hAnsi="Times New Roman" w:cs="Times New Roman"/>
                <w:sz w:val="20"/>
                <w:szCs w:val="20"/>
              </w:rPr>
              <w:t>885.06</w:t>
            </w:r>
          </w:p>
        </w:tc>
        <w:tc>
          <w:tcPr>
            <w:tcW w:w="1162" w:type="dxa"/>
            <w:shd w:val="clear" w:color="auto" w:fill="auto"/>
            <w:vAlign w:val="center"/>
          </w:tcPr>
          <w:p>
            <w:pPr>
              <w:jc w:val="center"/>
              <w:rPr>
                <w:rFonts w:ascii="Times New Roman" w:hAnsi="Times New Roman" w:eastAsia="宋体" w:cs="Times New Roman"/>
                <w:sz w:val="20"/>
                <w:szCs w:val="20"/>
              </w:rPr>
            </w:pPr>
            <w:r>
              <w:rPr>
                <w:rFonts w:ascii="Times New Roman" w:hAnsi="Times New Roman" w:cs="Times New Roman"/>
                <w:sz w:val="20"/>
                <w:szCs w:val="20"/>
              </w:rPr>
              <w:t>10.00%</w:t>
            </w:r>
          </w:p>
        </w:tc>
        <w:tc>
          <w:tcPr>
            <w:tcW w:w="95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预期性</w:t>
            </w:r>
          </w:p>
        </w:tc>
      </w:tr>
    </w:tbl>
    <w:p>
      <w:pPr>
        <w:pStyle w:val="4"/>
        <w:ind w:firstLine="643" w:firstLineChars="200"/>
        <w:rPr>
          <w:rFonts w:ascii="楷体" w:hAnsi="楷体" w:eastAsia="楷体" w:cs="仿宋_GB2312"/>
        </w:rPr>
      </w:pPr>
      <w:bookmarkStart w:id="8" w:name="_Toc56692952"/>
      <w:r>
        <w:rPr>
          <w:rFonts w:hint="eastAsia" w:ascii="楷体" w:hAnsi="楷体" w:eastAsia="楷体" w:cs="仿宋_GB2312"/>
        </w:rPr>
        <w:t>第三节  发展思路</w:t>
      </w:r>
      <w:bookmarkEnd w:id="8"/>
    </w:p>
    <w:p>
      <w:pPr>
        <w:ind w:firstLine="640" w:firstLineChars="200"/>
        <w:rPr>
          <w:rFonts w:ascii="仿宋" w:hAnsi="仿宋" w:eastAsia="仿宋"/>
          <w:sz w:val="32"/>
          <w:szCs w:val="32"/>
        </w:rPr>
      </w:pPr>
      <w:r>
        <w:rPr>
          <w:rFonts w:hint="eastAsia" w:ascii="仿宋" w:hAnsi="仿宋" w:eastAsia="仿宋"/>
          <w:sz w:val="32"/>
          <w:szCs w:val="32"/>
        </w:rPr>
        <w:t>坚持以习近平新时代中国特色社会主义思想为指导，坚持疫情防控和经济发展双管齐下，抢抓“双区驱动”机遇，逐步融入湾区建设，谋求地方经济高质量发展：落实创新、协调、绿色、开发、共享新发展理念，持续开展落后产能淘汰、退出工作，推进产业结构优化升级；</w:t>
      </w:r>
      <w:r>
        <w:rPr>
          <w:rFonts w:ascii="仿宋" w:hAnsi="仿宋" w:eastAsia="仿宋"/>
          <w:sz w:val="32"/>
          <w:szCs w:val="32"/>
        </w:rPr>
        <w:t>引进和承接一批</w:t>
      </w:r>
      <w:r>
        <w:rPr>
          <w:rFonts w:hint="eastAsia" w:ascii="仿宋" w:hAnsi="仿宋" w:eastAsia="仿宋"/>
          <w:sz w:val="32"/>
          <w:szCs w:val="32"/>
        </w:rPr>
        <w:t>符合产业政策、符合城镇建设规划和绿色经济发展要求的</w:t>
      </w:r>
      <w:r>
        <w:rPr>
          <w:rFonts w:ascii="仿宋" w:hAnsi="仿宋" w:eastAsia="仿宋"/>
          <w:sz w:val="32"/>
          <w:szCs w:val="32"/>
        </w:rPr>
        <w:t>先进制造业企业</w:t>
      </w:r>
      <w:r>
        <w:rPr>
          <w:rFonts w:hint="eastAsia" w:ascii="仿宋" w:hAnsi="仿宋" w:eastAsia="仿宋"/>
          <w:sz w:val="32"/>
          <w:szCs w:val="32"/>
        </w:rPr>
        <w:t>；紧抓市中心城区产城融合示范区的600亿元资金投入机遇，争取更多支持，充分利用深圳产业溢出，中山、顺德区位产能溢出、滨江新区产业园区辐射、人才岛“产学研”联动，努力在交通互联、产业互补、功能融合、城乡一体、职住平衡、宜居宜业的高质量发展“江门样板”打造中贡献荷塘力量。</w:t>
      </w:r>
    </w:p>
    <w:p>
      <w:pPr>
        <w:pStyle w:val="2"/>
        <w:ind w:firstLine="643" w:firstLineChars="200"/>
        <w:rPr>
          <w:rFonts w:ascii="黑体" w:hAnsi="黑体" w:eastAsia="黑体" w:cs="仿宋_GB2312"/>
          <w:sz w:val="32"/>
          <w:szCs w:val="32"/>
        </w:rPr>
      </w:pPr>
      <w:bookmarkStart w:id="9" w:name="_Toc56692953"/>
      <w:r>
        <w:rPr>
          <w:rFonts w:hint="eastAsia" w:ascii="黑体" w:hAnsi="黑体" w:eastAsia="黑体" w:cs="仿宋_GB2312"/>
          <w:sz w:val="32"/>
          <w:szCs w:val="32"/>
        </w:rPr>
        <w:t>第二篇  发展任务和重要举措</w:t>
      </w:r>
      <w:bookmarkEnd w:id="9"/>
    </w:p>
    <w:p>
      <w:pPr>
        <w:pStyle w:val="3"/>
        <w:ind w:firstLine="643" w:firstLineChars="200"/>
        <w:rPr>
          <w:rFonts w:ascii="黑体" w:hAnsi="黑体" w:eastAsia="黑体" w:cs="仿宋_GB2312"/>
          <w:b w:val="0"/>
        </w:rPr>
      </w:pPr>
      <w:bookmarkStart w:id="10" w:name="_Toc56692954"/>
      <w:r>
        <w:rPr>
          <w:rFonts w:hint="eastAsia" w:ascii="黑体" w:hAnsi="黑体" w:eastAsia="黑体" w:cs="仿宋_GB2312"/>
        </w:rPr>
        <w:t>第三章  落实创新驱动战略，构建现代产业体系，实现高质量发展</w:t>
      </w:r>
      <w:bookmarkEnd w:id="10"/>
    </w:p>
    <w:p>
      <w:pPr>
        <w:ind w:firstLine="640" w:firstLineChars="200"/>
        <w:rPr>
          <w:rFonts w:ascii="仿宋" w:hAnsi="仿宋" w:eastAsia="仿宋"/>
          <w:sz w:val="32"/>
          <w:szCs w:val="32"/>
        </w:rPr>
      </w:pPr>
      <w:r>
        <w:rPr>
          <w:rFonts w:hint="eastAsia" w:ascii="仿宋" w:hAnsi="仿宋" w:eastAsia="仿宋"/>
          <w:sz w:val="32"/>
          <w:szCs w:val="32"/>
        </w:rPr>
        <w:t>创新是引领发展的第一动力，是建设现代化经济体系的战略支撑，也是实现高质量发展的必由路径。坚持创新在我国现代化建设全局中的核心地位，把科技自立自强作为国家发展的战略支撑，通过创新资源引领三次产业在更高水平上的深度融合，加快新旧动能接续转换，努力构建集群发展、多元现代的产业体系，通过实现高质量发展进一步提升产业竞争力和综合经济实力。</w:t>
      </w:r>
    </w:p>
    <w:p>
      <w:pPr>
        <w:pStyle w:val="4"/>
        <w:ind w:firstLine="643" w:firstLineChars="200"/>
        <w:rPr>
          <w:rFonts w:ascii="楷体" w:hAnsi="楷体" w:eastAsia="楷体" w:cs="仿宋_GB2312"/>
        </w:rPr>
      </w:pPr>
      <w:bookmarkStart w:id="11" w:name="_Toc56692955"/>
      <w:r>
        <w:rPr>
          <w:rFonts w:hint="eastAsia" w:ascii="楷体" w:hAnsi="楷体" w:eastAsia="楷体" w:cs="仿宋_GB2312"/>
        </w:rPr>
        <w:t>第一节  坚持创新驱动发展，塑造发展新优势</w:t>
      </w:r>
      <w:bookmarkEnd w:id="11"/>
    </w:p>
    <w:p>
      <w:pPr>
        <w:spacing w:line="600" w:lineRule="exact"/>
        <w:ind w:firstLine="640" w:firstLineChars="200"/>
        <w:rPr>
          <w:rFonts w:ascii="楷体" w:hAnsi="楷体" w:eastAsia="楷体" w:cs="仿宋_GB2312"/>
          <w:b/>
          <w:sz w:val="32"/>
          <w:szCs w:val="32"/>
        </w:rPr>
      </w:pPr>
      <w:r>
        <w:rPr>
          <w:rFonts w:hint="eastAsia" w:ascii="仿宋" w:hAnsi="仿宋" w:eastAsia="仿宋"/>
          <w:sz w:val="32"/>
          <w:szCs w:val="32"/>
        </w:rPr>
        <w:t>发挥科技创新在全面创新中的引领作用，不断提高原始创新、集成创新和引进消化吸收再创新能力，为经济社会发展提供持久动力。强化企业创新主体地位，提升企业自主创新、技术创新能力，着力构建以企业为主体、市场为导向、产学研相结合的技术创新体系。增强项目扶持、资金帮扶等创新奖励政策的刺激引领用作，鼓励科技型企业积极开展工程技术研究中心认定申请、高新技术企业申报及规模以上工业企业研发机构建设登记等科研创新活动。营造良好创新生态圈，强化知识产权保护和运用，积极配合市、区相关部门加大科技贴息贷款、知识产权质押融资扶持力度，健全产学研一体化创新机制。结合深圳科技园江门园区和万洋众创城项目，对接高精尖人才，建设院士工作站，带动更多顶尖智力驻扎本地创业创新。推进江门技师学院建设，向企业培养输送中高级技能人才、生产管理人才。深入推进大众创业万众创新，激发人才创新活力，鼓励各类主体开发新技术、新产品、新业态、新模式，加大科研成果转化支持力度，促进科技成果资本化产业化，打造发展新引擎。</w:t>
      </w:r>
    </w:p>
    <w:p>
      <w:pPr>
        <w:pStyle w:val="4"/>
        <w:ind w:firstLine="643" w:firstLineChars="200"/>
        <w:rPr>
          <w:rFonts w:ascii="楷体" w:hAnsi="楷体" w:eastAsia="楷体" w:cs="仿宋_GB2312"/>
        </w:rPr>
      </w:pPr>
      <w:bookmarkStart w:id="12" w:name="_Toc56692956"/>
      <w:r>
        <w:rPr>
          <w:rFonts w:hint="eastAsia" w:ascii="楷体" w:hAnsi="楷体" w:eastAsia="楷体" w:cs="仿宋_GB2312"/>
        </w:rPr>
        <w:t>第二节  构建发展现代产业体系，推动经济体系优化升级</w:t>
      </w:r>
      <w:bookmarkEnd w:id="12"/>
    </w:p>
    <w:p>
      <w:pPr>
        <w:spacing w:line="600" w:lineRule="exact"/>
        <w:ind w:firstLine="416" w:firstLineChars="130"/>
        <w:rPr>
          <w:rFonts w:ascii="楷体" w:hAnsi="楷体" w:eastAsia="楷体" w:cs="仿宋_GB2312"/>
          <w:b/>
          <w:sz w:val="32"/>
          <w:szCs w:val="32"/>
        </w:rPr>
      </w:pPr>
      <w:r>
        <w:rPr>
          <w:rFonts w:hint="eastAsia" w:ascii="仿宋" w:hAnsi="仿宋" w:eastAsia="仿宋"/>
          <w:sz w:val="32"/>
          <w:szCs w:val="32"/>
        </w:rPr>
        <w:t>坚持把发展经济着力点放在实体经济上，推进产业基础高级化、产业链供应链现代化，提供经济质量效益和核心竞争力。</w:t>
      </w:r>
      <w:r>
        <w:rPr>
          <w:rFonts w:hint="eastAsia" w:ascii="仿宋" w:hAnsi="仿宋" w:eastAsia="仿宋"/>
          <w:b/>
          <w:sz w:val="32"/>
          <w:szCs w:val="32"/>
        </w:rPr>
        <w:t>加快发展先进制造业</w:t>
      </w:r>
      <w:r>
        <w:rPr>
          <w:rFonts w:hint="eastAsia" w:ascii="仿宋" w:hAnsi="仿宋" w:eastAsia="仿宋"/>
          <w:sz w:val="32"/>
          <w:szCs w:val="32"/>
        </w:rPr>
        <w:t>，支持本地五金灯饰、纺织内衣等优势产业发展，推动产业升级优化，贯彻落实企业发展扶持资金，大力扶持小微企业发展，鼓励企业开展技改创新，以智能制造为主攻方向推动产业技术变革和优化升级，积极跟进服务重点企业项目，协助企业做大做强，探索五金制造产业参与智能装备零部件加工，鼓励发展医疗器械、汽车零部件制造产业发展，</w:t>
      </w:r>
      <w:r>
        <w:rPr>
          <w:rFonts w:hint="eastAsia" w:ascii="仿宋" w:hAnsi="仿宋" w:eastAsia="仿宋"/>
          <w:b/>
          <w:sz w:val="32"/>
          <w:szCs w:val="32"/>
        </w:rPr>
        <w:t>培育壮大战略性新兴产业</w:t>
      </w:r>
      <w:r>
        <w:rPr>
          <w:rFonts w:hint="eastAsia" w:ascii="仿宋" w:hAnsi="仿宋" w:eastAsia="仿宋"/>
          <w:sz w:val="32"/>
          <w:szCs w:val="32"/>
        </w:rPr>
        <w:t>，大力发展高端高新产业和产品，支持、鼓励企业加大产品、技术创新力度；采用先进的生产工艺和技术，推动企业经济绿色发展、安全发展，努力把企业做强做优做大，构建产业体系新支柱，积极发展新材料、新型显示、新一代电子信息等产业。</w:t>
      </w:r>
      <w:r>
        <w:rPr>
          <w:rFonts w:hint="eastAsia" w:ascii="仿宋" w:hAnsi="仿宋" w:eastAsia="仿宋"/>
          <w:b/>
          <w:sz w:val="32"/>
          <w:szCs w:val="32"/>
        </w:rPr>
        <w:t>加快发展现代服务业</w:t>
      </w:r>
      <w:r>
        <w:rPr>
          <w:rFonts w:hint="eastAsia" w:ascii="仿宋" w:hAnsi="仿宋" w:eastAsia="仿宋"/>
          <w:sz w:val="32"/>
          <w:szCs w:val="32"/>
        </w:rPr>
        <w:t>，以维龙物流园区项目为契点，推进快递物流标准体系建设。依托荷塘3000吨级进出港码头和西江水道，重点发展航运物流，新建建设临港物流园1处，服务于港口及周边工业产业园，提供仓储、调配、运输服务，同时结合深圳科技园江门园区、万洋众创城、维龙物流园区等高标准园区建设，促进现代商贸、通信服务、金融、电子商务、文化娱乐、公共管理服务等现代服务产业发展。</w:t>
      </w:r>
    </w:p>
    <w:tbl>
      <w:tblPr>
        <w:tblStyle w:val="12"/>
        <w:tblW w:w="866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662" w:type="dxa"/>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2020年重点工业企业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8662"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规上工业企业主要行业：</w:t>
            </w:r>
            <w:r>
              <w:rPr>
                <w:rFonts w:hint="eastAsia" w:ascii="宋体" w:hAnsi="宋体" w:eastAsia="宋体" w:cs="宋体"/>
                <w:kern w:val="0"/>
                <w:sz w:val="20"/>
                <w:szCs w:val="20"/>
              </w:rPr>
              <w:t>①电气机械和器材制造业（照明灯具制造）②金属制品业③造纸及纸制品业④非金属矿物制品业（平板玻璃、日用玻璃制造）⑤橡胶和塑料制品业⑥纺织业⑦纺织服装、服饰业⑧汽车制造业⑨农副食品加工业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8662"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市重点项目：</w:t>
            </w:r>
            <w:r>
              <w:rPr>
                <w:rFonts w:hint="eastAsia" w:ascii="宋体" w:hAnsi="宋体" w:eastAsia="宋体" w:cs="宋体"/>
                <w:kern w:val="0"/>
                <w:sz w:val="20"/>
                <w:szCs w:val="20"/>
              </w:rPr>
              <w:t>①汇海农牧增资扩产项目（1.2亿元）②深圳科技园江门园区（首期）（4.4亿元）③维龙物流项目（3.15亿元）④阳光新天地广场（2.5亿元）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8662" w:type="dxa"/>
            <w:shd w:val="clear" w:color="auto" w:fill="auto"/>
            <w:vAlign w:val="center"/>
          </w:tcPr>
          <w:p>
            <w:pPr>
              <w:widowControl/>
              <w:jc w:val="left"/>
              <w:rPr>
                <w:rFonts w:ascii="宋体" w:hAnsi="宋体" w:eastAsia="宋体" w:cs="宋体"/>
                <w:b/>
                <w:bCs/>
                <w:kern w:val="0"/>
                <w:sz w:val="20"/>
                <w:szCs w:val="20"/>
              </w:rPr>
            </w:pPr>
            <w:r>
              <w:rPr>
                <w:rFonts w:hint="eastAsia" w:ascii="宋体" w:hAnsi="宋体" w:eastAsia="宋体" w:cs="宋体"/>
                <w:b/>
                <w:bCs/>
                <w:kern w:val="0"/>
                <w:sz w:val="20"/>
                <w:szCs w:val="20"/>
              </w:rPr>
              <w:t>新落户企业项目：</w:t>
            </w:r>
            <w:r>
              <w:rPr>
                <w:rFonts w:hint="eastAsia" w:ascii="宋体" w:hAnsi="宋体" w:eastAsia="宋体" w:cs="宋体"/>
                <w:kern w:val="0"/>
                <w:sz w:val="20"/>
                <w:szCs w:val="20"/>
              </w:rPr>
              <w:t>①世通医疗项目（1.5亿元）②赛克斯（高威塑胶颜料增资扩产项目）（8000万元）③长青皮革厂转混凝土项目（1.1亿元）④康溪村级工业园升级改造项目一期（蓬江荷塘万洋众创城）（10亿元）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8662" w:type="dxa"/>
            <w:shd w:val="clear" w:color="auto" w:fill="auto"/>
            <w:vAlign w:val="center"/>
          </w:tcPr>
          <w:p>
            <w:pPr>
              <w:widowControl/>
              <w:jc w:val="left"/>
              <w:rPr>
                <w:rFonts w:ascii="宋体" w:hAnsi="宋体" w:eastAsia="宋体" w:cs="宋体"/>
                <w:b/>
                <w:bCs/>
                <w:kern w:val="0"/>
                <w:sz w:val="20"/>
                <w:szCs w:val="20"/>
              </w:rPr>
            </w:pPr>
            <w:r>
              <w:rPr>
                <w:rFonts w:hint="eastAsia" w:ascii="宋体" w:hAnsi="宋体" w:eastAsia="宋体" w:cs="宋体"/>
                <w:b/>
                <w:bCs/>
                <w:kern w:val="0"/>
                <w:sz w:val="20"/>
                <w:szCs w:val="20"/>
              </w:rPr>
              <w:t>在谈企业项目：</w:t>
            </w:r>
            <w:r>
              <w:rPr>
                <w:rFonts w:hint="eastAsia" w:ascii="宋体" w:hAnsi="宋体" w:eastAsia="宋体" w:cs="宋体"/>
                <w:kern w:val="0"/>
                <w:sz w:val="20"/>
                <w:szCs w:val="20"/>
              </w:rPr>
              <w:t>①江门新荷不锈钢制品有限公司工业类升级改造项目（2.7亿元）②江门新展兴不锈钢制品有限公司（2.01亿元）③江门鸿大科技有限公司（6000万元）④广东基顺隆新型药用包装材料有限公司二期（1.5亿元）⑤江盛仓储物流项目（5000万元）</w:t>
            </w:r>
          </w:p>
        </w:tc>
      </w:tr>
    </w:tbl>
    <w:p>
      <w:bookmarkStart w:id="13" w:name="_Toc56692957"/>
    </w:p>
    <w:tbl>
      <w:tblPr>
        <w:tblStyle w:val="12"/>
        <w:tblW w:w="866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662" w:type="dxa"/>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十四五重点产业目录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8662"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大力发展传统优势产业：</w:t>
            </w:r>
            <w:r>
              <w:rPr>
                <w:rFonts w:hint="eastAsia" w:ascii="宋体" w:hAnsi="宋体" w:eastAsia="宋体" w:cs="宋体"/>
                <w:kern w:val="0"/>
                <w:sz w:val="20"/>
                <w:szCs w:val="20"/>
              </w:rPr>
              <w:t>①电气机械和器材制造业（照明灯具制造）②金属制品业③造纸及纸制品业④橡胶和塑料制品业⑤纺织服装、服饰业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8662"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鼓励发展产业：</w:t>
            </w:r>
            <w:r>
              <w:rPr>
                <w:rFonts w:hint="eastAsia" w:ascii="宋体" w:hAnsi="宋体" w:eastAsia="宋体" w:cs="宋体"/>
                <w:kern w:val="0"/>
                <w:sz w:val="20"/>
                <w:szCs w:val="20"/>
              </w:rPr>
              <w:t>①智能制造装备零部件加工②新材料③医疗器械④航运物流④现代商贸（汽车零配件产销基地）</w:t>
            </w:r>
          </w:p>
        </w:tc>
      </w:tr>
    </w:tbl>
    <w:p>
      <w:pPr>
        <w:pStyle w:val="3"/>
        <w:ind w:firstLine="643" w:firstLineChars="200"/>
        <w:rPr>
          <w:rFonts w:ascii="黑体" w:hAnsi="黑体" w:eastAsia="黑体" w:cs="仿宋_GB2312"/>
        </w:rPr>
      </w:pPr>
      <w:r>
        <w:rPr>
          <w:rFonts w:hint="eastAsia" w:ascii="黑体" w:hAnsi="黑体" w:eastAsia="黑体" w:cs="仿宋_GB2312"/>
        </w:rPr>
        <w:t>第四章  扩大对外开放格局，全力融入粤港澳大湾区建设</w:t>
      </w:r>
      <w:bookmarkEnd w:id="13"/>
    </w:p>
    <w:p>
      <w:pPr>
        <w:ind w:firstLine="640" w:firstLineChars="200"/>
        <w:rPr>
          <w:rFonts w:ascii="仿宋" w:hAnsi="仿宋" w:eastAsia="仿宋"/>
          <w:sz w:val="32"/>
          <w:szCs w:val="32"/>
        </w:rPr>
      </w:pPr>
      <w:r>
        <w:rPr>
          <w:rFonts w:hint="eastAsia" w:ascii="仿宋" w:hAnsi="仿宋" w:eastAsia="仿宋"/>
          <w:sz w:val="32"/>
          <w:szCs w:val="32"/>
        </w:rPr>
        <w:t>我国正在构建并形成以畅通国内大循环为主体、国内国际双循环相互促进的新发展格局，坚持扩大内需战略基点，牢牢把握“一带一路”建设、粤港澳大湾区建设的重要机遇，加快对外开放平台建设，强化交通互联互通，全面推进双向开放。</w:t>
      </w:r>
    </w:p>
    <w:p>
      <w:pPr>
        <w:pStyle w:val="4"/>
        <w:ind w:firstLine="643" w:firstLineChars="200"/>
        <w:rPr>
          <w:rFonts w:ascii="楷体" w:hAnsi="楷体" w:eastAsia="楷体" w:cs="仿宋_GB2312"/>
        </w:rPr>
      </w:pPr>
      <w:bookmarkStart w:id="14" w:name="_Toc56692958"/>
      <w:r>
        <w:rPr>
          <w:rFonts w:hint="eastAsia" w:ascii="楷体" w:hAnsi="楷体" w:eastAsia="楷体" w:cs="仿宋_GB2312"/>
        </w:rPr>
        <w:t>第一节  加快建设对外开放发展合作平台</w:t>
      </w:r>
      <w:bookmarkEnd w:id="14"/>
    </w:p>
    <w:p>
      <w:pPr>
        <w:spacing w:line="600" w:lineRule="exact"/>
        <w:ind w:firstLine="640" w:firstLineChars="200"/>
        <w:rPr>
          <w:rFonts w:ascii="仿宋_GB2312" w:hAnsi="宋体" w:eastAsia="仿宋_GB2312" w:cs="仿宋_GB2312"/>
          <w:color w:val="000000"/>
          <w:kern w:val="0"/>
          <w:sz w:val="31"/>
          <w:szCs w:val="31"/>
        </w:rPr>
      </w:pPr>
      <w:r>
        <w:rPr>
          <w:rFonts w:hint="eastAsia" w:ascii="仿宋" w:hAnsi="仿宋" w:eastAsia="仿宋"/>
          <w:sz w:val="32"/>
          <w:szCs w:val="32"/>
        </w:rPr>
        <w:t>以深圳科技园江门园区为切入点，探索“深圳总部+江门基地”的园区联动模式，积极对接广佛经济圈，拓展广蓬、深蓬产业园区合作，对接广州、深圳等高科技产业的转移与互补，重点发展电子信息、人工智能、工业自动化和现代服务为主的产业集群。以康溪工业园升级改造项目作为我镇产业转型升级的重要突破口和示范点，高标准推进村级工业园区升级改造，主动承接粤港澳大湾区中心城市产业溢出，</w:t>
      </w:r>
      <w:r>
        <w:rPr>
          <w:rFonts w:hint="eastAsia" w:ascii="仿宋_GB2312" w:hAnsi="宋体" w:eastAsia="仿宋_GB2312" w:cs="仿宋_GB2312"/>
          <w:color w:val="000000"/>
          <w:kern w:val="0"/>
          <w:sz w:val="31"/>
          <w:szCs w:val="31"/>
        </w:rPr>
        <w:t>加快完善道路、公共交通配套基础设施建设，高标准建设产品研发、企业总部办公区域、现代化生产中心、工业商品厂房和公共节能环保设施，打造智能型、生态型园区和新型商贸服务基地。推广万洋众创城发展模式，十四五期间再打造1个村级工业园改造项目。</w:t>
      </w:r>
    </w:p>
    <w:tbl>
      <w:tblPr>
        <w:tblStyle w:val="12"/>
        <w:tblW w:w="8379" w:type="dxa"/>
        <w:tblInd w:w="93" w:type="dxa"/>
        <w:tblLayout w:type="fixed"/>
        <w:tblCellMar>
          <w:top w:w="0" w:type="dxa"/>
          <w:left w:w="108" w:type="dxa"/>
          <w:bottom w:w="0" w:type="dxa"/>
          <w:right w:w="108" w:type="dxa"/>
        </w:tblCellMar>
      </w:tblPr>
      <w:tblGrid>
        <w:gridCol w:w="8379"/>
      </w:tblGrid>
      <w:tr>
        <w:tblPrEx>
          <w:tblCellMar>
            <w:top w:w="0" w:type="dxa"/>
            <w:left w:w="108" w:type="dxa"/>
            <w:bottom w:w="0" w:type="dxa"/>
            <w:right w:w="108" w:type="dxa"/>
          </w:tblCellMar>
        </w:tblPrEx>
        <w:trPr>
          <w:trHeight w:val="615" w:hRule="atLeast"/>
        </w:trPr>
        <w:tc>
          <w:tcPr>
            <w:tcW w:w="837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对外开放发展重要合作平台</w:t>
            </w:r>
          </w:p>
        </w:tc>
      </w:tr>
      <w:tr>
        <w:tblPrEx>
          <w:tblCellMar>
            <w:top w:w="0" w:type="dxa"/>
            <w:left w:w="108" w:type="dxa"/>
            <w:bottom w:w="0" w:type="dxa"/>
            <w:right w:w="108" w:type="dxa"/>
          </w:tblCellMar>
        </w:tblPrEx>
        <w:trPr>
          <w:trHeight w:val="1692" w:hRule="atLeast"/>
        </w:trPr>
        <w:tc>
          <w:tcPr>
            <w:tcW w:w="837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深圳科技园江门园区：</w:t>
            </w:r>
            <w:r>
              <w:rPr>
                <w:rFonts w:hint="eastAsia" w:ascii="宋体" w:hAnsi="宋体" w:eastAsia="宋体" w:cs="宋体"/>
                <w:kern w:val="0"/>
                <w:sz w:val="20"/>
                <w:szCs w:val="20"/>
              </w:rPr>
              <w:t>由深圳科技工业园(集团)有限公司与广东胡润企业集团共同进行规划、开发、建设与运营的园区。项目总投资30亿元人民币，其中基建投资12亿元人民币，项目用地面积234.5亩，计容建筑面积41.3万平方米。计划分三期进行，其中第一期占地68亩，基建投资2.5亿元，计容建筑面积13.2万平方米，已于2020年3月开展拆除工程，10月开展桩基工程，动工建设。</w:t>
            </w:r>
          </w:p>
        </w:tc>
      </w:tr>
      <w:tr>
        <w:tblPrEx>
          <w:tblCellMar>
            <w:top w:w="0" w:type="dxa"/>
            <w:left w:w="108" w:type="dxa"/>
            <w:bottom w:w="0" w:type="dxa"/>
            <w:right w:w="108" w:type="dxa"/>
          </w:tblCellMar>
        </w:tblPrEx>
        <w:trPr>
          <w:trHeight w:val="1674" w:hRule="atLeast"/>
        </w:trPr>
        <w:tc>
          <w:tcPr>
            <w:tcW w:w="8379"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b/>
                <w:bCs/>
                <w:kern w:val="0"/>
                <w:sz w:val="20"/>
                <w:szCs w:val="20"/>
              </w:rPr>
              <w:t>康溪村工业园升级改造项目</w:t>
            </w:r>
            <w:r>
              <w:rPr>
                <w:rFonts w:hint="eastAsia" w:ascii="宋体" w:hAnsi="宋体" w:eastAsia="宋体" w:cs="宋体"/>
                <w:kern w:val="0"/>
                <w:sz w:val="20"/>
                <w:szCs w:val="20"/>
              </w:rPr>
              <w:t>：为市村级工业园升级改造试点项目及我镇产业转型升级的重要突破口和示范点。2019年开展摸底调查，2020年4选定康溪村工业园为试点，全面推进升级改造进程。项目一期于2020年3月底4月初开展征收补偿工作，4月底表决通过改造方案，7月初地块摘牌，7月底举行启动仪式开展拆除工程，9月举行动工仪式，开展桩基工程。2020年11月，启动二期项目。</w:t>
            </w:r>
          </w:p>
        </w:tc>
      </w:tr>
    </w:tbl>
    <w:p>
      <w:pPr>
        <w:pStyle w:val="4"/>
        <w:ind w:firstLine="643" w:firstLineChars="200"/>
        <w:rPr>
          <w:rFonts w:ascii="楷体" w:hAnsi="楷体" w:eastAsia="楷体" w:cs="仿宋_GB2312"/>
        </w:rPr>
      </w:pPr>
      <w:bookmarkStart w:id="15" w:name="_Toc56692959"/>
      <w:r>
        <w:rPr>
          <w:rFonts w:hint="eastAsia" w:ascii="楷体" w:hAnsi="楷体" w:eastAsia="楷体" w:cs="仿宋_GB2312"/>
        </w:rPr>
        <w:t>第二节  深入推进经济合作</w:t>
      </w:r>
      <w:bookmarkEnd w:id="15"/>
    </w:p>
    <w:p>
      <w:pPr>
        <w:spacing w:line="600" w:lineRule="exact"/>
        <w:ind w:firstLine="640" w:firstLineChars="200"/>
        <w:rPr>
          <w:rFonts w:ascii="楷体" w:hAnsi="楷体" w:eastAsia="楷体" w:cs="仿宋_GB2312"/>
          <w:b/>
          <w:sz w:val="32"/>
          <w:szCs w:val="32"/>
        </w:rPr>
      </w:pPr>
      <w:r>
        <w:rPr>
          <w:rFonts w:hint="eastAsia" w:ascii="仿宋" w:hAnsi="仿宋" w:eastAsia="仿宋"/>
          <w:sz w:val="32"/>
          <w:szCs w:val="32"/>
        </w:rPr>
        <w:t>以五金灯饰、纺织内衣等优势行业为重点，开展区域产能合作，以创新驱动、高质量供给引领和创造新需求；引导企业集群式发展，增强经济实力，推动产品、服务走出去，拓展多边产能合作机制，积极与发达地区合作开拓第三方市场。巩固传统市场份额，提升传统出口优势，促进加工贸易创新发展，鼓励、支持企业推动出口市场多元化，优化对外贸易布局，减少贸易摩擦带来的消极影响。</w:t>
      </w:r>
    </w:p>
    <w:p>
      <w:pPr>
        <w:pStyle w:val="4"/>
        <w:ind w:firstLine="643" w:firstLineChars="200"/>
        <w:rPr>
          <w:rFonts w:ascii="楷体" w:hAnsi="楷体" w:eastAsia="楷体" w:cs="仿宋_GB2312"/>
        </w:rPr>
      </w:pPr>
      <w:bookmarkStart w:id="16" w:name="_Toc56692960"/>
      <w:r>
        <w:rPr>
          <w:rFonts w:hint="eastAsia" w:ascii="楷体" w:hAnsi="楷体" w:eastAsia="楷体" w:cs="仿宋_GB2312"/>
        </w:rPr>
        <w:t>第三节  加快推进“线上线下”交通建设</w:t>
      </w:r>
      <w:bookmarkEnd w:id="16"/>
    </w:p>
    <w:p>
      <w:pPr>
        <w:spacing w:line="600" w:lineRule="exact"/>
        <w:ind w:firstLine="640" w:firstLineChars="200"/>
        <w:rPr>
          <w:rFonts w:ascii="仿宋" w:hAnsi="仿宋" w:eastAsia="仿宋"/>
          <w:sz w:val="32"/>
          <w:szCs w:val="32"/>
        </w:rPr>
      </w:pPr>
      <w:r>
        <w:rPr>
          <w:rFonts w:hint="eastAsia" w:ascii="仿宋" w:hAnsi="仿宋" w:eastAsia="仿宋"/>
          <w:sz w:val="32"/>
          <w:szCs w:val="32"/>
        </w:rPr>
        <w:t>充分利用江门、中山、佛山三市交会以及西江江心岛的区位优势，与中交四航局达成战略合作，对全镇进行高标准规划、布局，对我镇南华路、中泰路、中兴路、北昌路、南格西路、东堤路、西堤路等镇内主干道路进行升级改造工程，构建横贯东西、纵贯南北、内畅外通的综合运输大通道。同时，扩宽和增加与邻近城镇的交通网络，为发挥荷塘镇作为蓬江区对接大湾区产业合作桥头堡的重要作用，必须加强荷塘镇与蓬江区的互联互通，研究启动华盛路西江隧道建设项目，以过江隧道方式衔接蓬江区华盛路与荷塘镇北昌路；尽快启动马滘大桥重建项目，以满足日益增长的对外交通需求，建设高效衔接、畅通内外的交通网络。</w:t>
      </w:r>
    </w:p>
    <w:p>
      <w:pPr>
        <w:ind w:firstLine="640" w:firstLineChars="200"/>
        <w:rPr>
          <w:rFonts w:ascii="仿宋" w:hAnsi="仿宋" w:eastAsia="仿宋"/>
          <w:sz w:val="32"/>
          <w:szCs w:val="32"/>
        </w:rPr>
      </w:pPr>
      <w:r>
        <w:rPr>
          <w:rFonts w:hint="eastAsia" w:ascii="仿宋" w:hAnsi="仿宋" w:eastAsia="仿宋"/>
          <w:sz w:val="32"/>
          <w:szCs w:val="32"/>
        </w:rPr>
        <w:t>探索发展码头经济，充分发挥荷塘深水码头及岸线资源的作用,利用中交四航局在土地、港口开发策划、规划和园区开发招商中的资金优势和平台优势,依托西江水道,有效盘活原有码头资源,完善蓬江区公水联运体系，按照“港、产、城”一体化发展战略，整合港口物流和工业产业园，打造具有竞争力的临港经济区。</w:t>
      </w:r>
    </w:p>
    <w:p>
      <w:pPr>
        <w:ind w:firstLine="640" w:firstLineChars="200"/>
        <w:rPr>
          <w:rFonts w:ascii="仿宋" w:hAnsi="仿宋" w:eastAsia="仿宋"/>
          <w:sz w:val="32"/>
          <w:szCs w:val="32"/>
        </w:rPr>
      </w:pPr>
      <w:r>
        <w:rPr>
          <w:rFonts w:hint="eastAsia" w:ascii="仿宋" w:hAnsi="仿宋" w:eastAsia="仿宋"/>
          <w:sz w:val="32"/>
          <w:szCs w:val="32"/>
        </w:rPr>
        <w:t>加快构建高速、移动的新一代信息基础设施，全面完成宽带接入光纤化进程，实现全辖区光纤通达、光网覆盖；加快第五代移动通信（5G）网络建设，深入普及高速无线宽度，实现乡镇与村居全面深度覆盖；加快信息网络新技术广泛运用，充分应用人工智能，建立数据中心，推进现代化工业互联网、物联网等“互联网+”新业态发展。</w:t>
      </w:r>
    </w:p>
    <w:tbl>
      <w:tblPr>
        <w:tblStyle w:val="12"/>
        <w:tblW w:w="823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8237" w:type="dxa"/>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“十四五”交通设施建设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237" w:type="dxa"/>
            <w:shd w:val="clear" w:color="auto" w:fill="auto"/>
            <w:vAlign w:val="center"/>
          </w:tcPr>
          <w:p>
            <w:pPr>
              <w:spacing w:line="360" w:lineRule="auto"/>
              <w:jc w:val="left"/>
              <w:outlineLvl w:val="0"/>
              <w:rPr>
                <w:rFonts w:ascii="宋体" w:hAnsi="宋体" w:eastAsia="宋体" w:cs="宋体"/>
                <w:kern w:val="0"/>
                <w:sz w:val="20"/>
                <w:szCs w:val="20"/>
              </w:rPr>
            </w:pPr>
            <w:r>
              <w:rPr>
                <w:rFonts w:hint="eastAsia" w:ascii="宋体" w:hAnsi="宋体" w:eastAsia="宋体" w:cs="宋体"/>
                <w:b/>
                <w:bCs/>
                <w:kern w:val="0"/>
                <w:sz w:val="20"/>
                <w:szCs w:val="20"/>
              </w:rPr>
              <w:t>市政道路工程：</w:t>
            </w:r>
            <w:r>
              <w:rPr>
                <w:rFonts w:hint="eastAsia" w:ascii="宋体" w:hAnsi="宋体" w:eastAsia="宋体" w:cs="宋体"/>
                <w:kern w:val="0"/>
                <w:sz w:val="20"/>
                <w:szCs w:val="20"/>
              </w:rPr>
              <w:t>①中兴一路扩建工程；②南华路扩建工程；③中泰路改造工程；④南格西路改造工程；⑤北昌路改造工程；⑥东堤路扩建改造工程；⑦西堤路改造工程；⑧中兴四路扩建改造工程；⑨华盛路西江隧道建设项目；⑩马滘大桥重建项目</w:t>
            </w:r>
            <w:r>
              <w:rPr>
                <w:rFonts w:hint="eastAsia"/>
              </w:rPr>
              <w:t>；</w:t>
            </w:r>
            <w:r>
              <w:rPr>
                <w:rFonts w:hint="eastAsia" w:ascii="宋体" w:hAnsi="宋体" w:eastAsia="宋体" w:cs="宋体"/>
                <w:kern w:val="0"/>
                <w:sz w:val="20"/>
                <w:szCs w:val="20"/>
              </w:rPr>
              <w:t>⑪荷塘镇“纵一线”快速路建设项目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2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 w:val="20"/>
                <w:szCs w:val="20"/>
              </w:rPr>
            </w:pPr>
            <w:r>
              <w:rPr>
                <w:rFonts w:hint="eastAsia" w:ascii="宋体" w:hAnsi="宋体" w:eastAsia="宋体" w:cs="宋体"/>
                <w:b/>
                <w:bCs/>
                <w:kern w:val="0"/>
                <w:sz w:val="20"/>
                <w:szCs w:val="20"/>
              </w:rPr>
              <w:t>电子信息基础设施：</w:t>
            </w:r>
            <w:r>
              <w:rPr>
                <w:rFonts w:hint="eastAsia" w:ascii="宋体" w:hAnsi="宋体" w:eastAsia="宋体" w:cs="宋体"/>
                <w:bCs/>
                <w:kern w:val="0"/>
                <w:sz w:val="20"/>
                <w:szCs w:val="20"/>
              </w:rPr>
              <w:t>①光网覆盖工程；②5G网络建设；③“互联网+”数据中心建设</w:t>
            </w:r>
          </w:p>
        </w:tc>
      </w:tr>
    </w:tbl>
    <w:p>
      <w:pPr>
        <w:pStyle w:val="3"/>
        <w:ind w:firstLine="643" w:firstLineChars="200"/>
        <w:rPr>
          <w:rFonts w:ascii="黑体" w:hAnsi="黑体" w:eastAsia="黑体" w:cs="仿宋_GB2312"/>
        </w:rPr>
      </w:pPr>
      <w:bookmarkStart w:id="17" w:name="_Toc56692961"/>
      <w:r>
        <w:rPr>
          <w:rFonts w:hint="eastAsia" w:ascii="黑体" w:hAnsi="黑体" w:eastAsia="黑体" w:cs="仿宋_GB2312"/>
        </w:rPr>
        <w:t>第五章  以乡村振兴为重要抓手，形成城乡融合发展新格局</w:t>
      </w:r>
      <w:bookmarkEnd w:id="17"/>
    </w:p>
    <w:p>
      <w:pPr>
        <w:spacing w:line="360" w:lineRule="auto"/>
        <w:ind w:firstLine="640" w:firstLineChars="200"/>
        <w:rPr>
          <w:rFonts w:ascii="仿宋" w:hAnsi="仿宋" w:eastAsia="仿宋"/>
          <w:sz w:val="32"/>
          <w:szCs w:val="32"/>
        </w:rPr>
      </w:pPr>
      <w:r>
        <w:rPr>
          <w:rFonts w:hint="eastAsia" w:ascii="仿宋" w:hAnsi="仿宋" w:eastAsia="仿宋"/>
          <w:sz w:val="32"/>
          <w:szCs w:val="32"/>
        </w:rPr>
        <w:t>瞄准珠西智能制造业重点区、城乡拓展核心的功能定位，以乡村振兴为重要抓手，推进新型城镇化建设，促进城乡融合发展。借助粤港澳大湾区建设、产业转移的机遇，围绕“深圳总部+江门基地”的园区联动模式，积极探索承接产业转移新模式，融入地区产业链和生产网络，构建更加科学合理的区域生产力布局。为实现产城融合，改善城镇居民居住环境，在村级工业园改造过程中，配套建设产城融合商住小区。</w:t>
      </w:r>
    </w:p>
    <w:p>
      <w:pPr>
        <w:ind w:firstLine="640" w:firstLineChars="200"/>
        <w:rPr>
          <w:rFonts w:ascii="仿宋" w:hAnsi="仿宋" w:eastAsia="仿宋"/>
          <w:sz w:val="32"/>
          <w:szCs w:val="32"/>
        </w:rPr>
      </w:pPr>
      <w:r>
        <w:rPr>
          <w:rFonts w:hint="eastAsia" w:ascii="仿宋" w:hAnsi="仿宋" w:eastAsia="仿宋"/>
          <w:sz w:val="32"/>
          <w:szCs w:val="32"/>
        </w:rPr>
        <w:t>推进老旧城区更新改造，整治“六乱”现象，增加园林配置和绿化养护投入，巩固完善水、电、气、消防、垃圾分类等基本的配套设施，增设公共活动场地、停车场等公共设施，增强卫生清洁力度，加快推进乡村治理体系和治理能力现代化、农业农村现代化，实现巩固拓展乡村振兴成果同城乡融合发展有效衔接。</w:t>
      </w:r>
    </w:p>
    <w:p>
      <w:pPr>
        <w:ind w:firstLine="640" w:firstLineChars="200"/>
        <w:rPr>
          <w:rFonts w:ascii="仿宋" w:hAnsi="仿宋" w:eastAsia="仿宋"/>
          <w:sz w:val="32"/>
          <w:szCs w:val="32"/>
        </w:rPr>
      </w:pPr>
      <w:r>
        <w:rPr>
          <w:rFonts w:hint="eastAsia" w:ascii="仿宋" w:hAnsi="仿宋" w:eastAsia="仿宋"/>
          <w:sz w:val="32"/>
          <w:szCs w:val="32"/>
        </w:rPr>
        <w:t>推进农村人居环境整治工程，深化建设第一批示范村及创建第二批示范村，加快南村“荷塘月色”项目推进，以高村“一河两岸”为中心统筹连片开发三丫村、霞村村等周边村，打造精品旅游路线；推进文化场馆建设，焕发荷塘纱龙非物质文化遗产和文物的文旅特色，打造2至3天的休闲人文农业旅游线路，同时结合“革命老区镇”红色资源，打造红色文旅产业；实施城镇农村饮水安全巩固提升工程，配合落实区的教育、医疗卫生、“三旧”改造等八项工作三年行动计划，改善城乡教育条件，加强基层医疗卫生机构建设，全面提升发展配套，逐步借助区的补齐人居环境设施“污水革命”、“垃圾革命”、“厕所革命”、“三线整治”等四大短板，将城市管理模式、人才、物力逐步向农村倾斜，强化以工补农，以城带乡，推动形成工农互促、城乡互补，统筹城乡协调发展、共同繁荣的新型城镇化格局。</w:t>
      </w:r>
    </w:p>
    <w:p>
      <w:pPr>
        <w:ind w:firstLine="640" w:firstLineChars="200"/>
        <w:rPr>
          <w:rFonts w:ascii="仿宋" w:hAnsi="仿宋" w:eastAsia="仿宋"/>
          <w:sz w:val="32"/>
          <w:szCs w:val="32"/>
        </w:rPr>
      </w:pPr>
      <w:r>
        <w:rPr>
          <w:rFonts w:hint="eastAsia" w:ascii="仿宋" w:hAnsi="仿宋" w:eastAsia="仿宋"/>
          <w:sz w:val="32"/>
          <w:szCs w:val="32"/>
        </w:rPr>
        <w:t>加大美丽乡村建设步伐，充分挖掘进士坊、周源李公祠两大省级文物保护单位的文化价值和荷塘纱龙珍贵的工艺价值、舞蹈价值，深化其中蕴含深厚的民俗学价值，使之成为海外乡亲认祖归宗的文化纽带，提升村庄基础设施条件，配套建设相关服务设施，打造南村村、篁湾村2个美丽乡村示范项目。</w:t>
      </w:r>
    </w:p>
    <w:tbl>
      <w:tblPr>
        <w:tblStyle w:val="12"/>
        <w:tblW w:w="83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379" w:type="dxa"/>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蓬江区“八个三年行动计划”（荷塘项目）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8379"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①教育发展（荷塘远昌小学扩建工程；荷塘三良小学扩建工程）；②医疗卫生（荷塘镇卫生院升级改造工程）；③老旧社区改造；④公园升级改造；⑤集贸市场提升；⑥乡村振兴（区级示范村创建（高村村）、南村村、篁湾村）；⑦“三旧”改造（深圳科技园江门园区（原德润科技园）地块、六坊旧村改造启动区、长青皮革厂、康溪村上围工业园、霞村工业园）；⑧产业园区建设。</w:t>
            </w:r>
          </w:p>
        </w:tc>
      </w:tr>
    </w:tbl>
    <w:p>
      <w:pPr>
        <w:pStyle w:val="3"/>
        <w:ind w:firstLine="643" w:firstLineChars="200"/>
        <w:rPr>
          <w:rFonts w:ascii="黑体" w:hAnsi="黑体" w:eastAsia="黑体" w:cs="仿宋_GB2312"/>
        </w:rPr>
      </w:pPr>
      <w:bookmarkStart w:id="18" w:name="_Toc56692962"/>
      <w:r>
        <w:rPr>
          <w:rFonts w:hint="eastAsia" w:ascii="黑体" w:hAnsi="黑体" w:eastAsia="黑体" w:cs="仿宋_GB2312"/>
        </w:rPr>
        <w:t>第六章  协调推进社会文明、生态文明建设，促进人与自然和谐共生</w:t>
      </w:r>
      <w:bookmarkEnd w:id="18"/>
    </w:p>
    <w:p>
      <w:pPr>
        <w:ind w:firstLine="640" w:firstLineChars="200"/>
        <w:rPr>
          <w:rFonts w:ascii="仿宋" w:hAnsi="仿宋" w:eastAsia="仿宋"/>
          <w:sz w:val="32"/>
          <w:szCs w:val="32"/>
        </w:rPr>
      </w:pPr>
      <w:r>
        <w:rPr>
          <w:rFonts w:hint="eastAsia" w:ascii="仿宋" w:hAnsi="仿宋" w:eastAsia="仿宋"/>
          <w:sz w:val="32"/>
          <w:szCs w:val="32"/>
        </w:rPr>
        <w:t>提高文化软实力，坚持马克思主义在意识形态领域的指导地位，坚持以社会主义核心价值观引领文化建设，加强社会主义精神文明建设，统筹推进学校、文化馆、图书馆等文化、教育配套设施建设，提升公共文化服务水平，提高社会文明程度，促进满足人民文化需求和增强人民精神力量相统一，推进社会主义文化建设。</w:t>
      </w:r>
    </w:p>
    <w:p>
      <w:pPr>
        <w:ind w:firstLine="640" w:firstLineChars="200"/>
        <w:rPr>
          <w:rFonts w:ascii="仿宋" w:hAnsi="仿宋" w:eastAsia="仿宋"/>
          <w:sz w:val="32"/>
          <w:szCs w:val="32"/>
        </w:rPr>
      </w:pPr>
      <w:r>
        <w:rPr>
          <w:rFonts w:hint="eastAsia" w:ascii="仿宋" w:hAnsi="仿宋" w:eastAsia="仿宋"/>
          <w:sz w:val="32"/>
          <w:szCs w:val="32"/>
        </w:rPr>
        <w:t>坚持铁腕治污，持续开展蓝天、碧水、净土行动，改善环境质量，提升生态系统质量和稳定性；认真落实河长制，加快推进西江潭江流域跨界重点支流综合治理工作，开展河道护岸及整治、河道清淤、碧道建设、电排站重建、水闸维修等工程，实现全镇河道防御洪涝能力整体提升，河流水环境和水生态明显改善，初步实现我镇“河畅、水清、堤固、岸绿、景美”的目标；积极配合开展黑臭水体治理，推进荷塘污水管网、污水厂升级建设；巩固“散乱污”企业整治成果，淘汰、退出高污染高耗能工业企业，严格落实企业投资负面清单；推行节能降耗，实施绿色环保产业发展计划，发展循环经济，加快推动绿色低碳发展；倡导勤俭节约，制止餐饮浪费，持续开展文明餐桌光盘行动，限制一次性用品使用，全面推行垃圾分类，提高资源利用效率。鼓励夜间加油。</w:t>
      </w:r>
    </w:p>
    <w:tbl>
      <w:tblPr>
        <w:tblStyle w:val="12"/>
        <w:tblW w:w="823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237" w:type="dxa"/>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专栏  “十四五”教育、环保配套工程项目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8237" w:type="dxa"/>
            <w:shd w:val="clear" w:color="auto" w:fill="auto"/>
            <w:vAlign w:val="center"/>
          </w:tcPr>
          <w:p>
            <w:pPr>
              <w:rPr>
                <w:rFonts w:ascii="宋体" w:hAnsi="宋体" w:eastAsia="宋体" w:cs="宋体"/>
                <w:sz w:val="20"/>
                <w:szCs w:val="20"/>
              </w:rPr>
            </w:pPr>
            <w:r>
              <w:rPr>
                <w:rFonts w:hint="eastAsia"/>
                <w:b/>
                <w:bCs/>
                <w:sz w:val="20"/>
                <w:szCs w:val="20"/>
              </w:rPr>
              <w:t>教育项目：</w:t>
            </w:r>
            <w:r>
              <w:rPr>
                <w:rFonts w:hint="eastAsia"/>
                <w:sz w:val="20"/>
                <w:szCs w:val="20"/>
              </w:rPr>
              <w:t>①荷塘职业技术学校综合楼建设及宿舍楼改建；②远昌小学新建综合教学楼工程；③荷塘镇成人文化技术学校转制改革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8237" w:type="dxa"/>
            <w:shd w:val="clear" w:color="auto" w:fill="auto"/>
            <w:vAlign w:val="center"/>
          </w:tcPr>
          <w:p>
            <w:pPr>
              <w:rPr>
                <w:rFonts w:ascii="宋体" w:hAnsi="宋体" w:eastAsia="宋体" w:cs="宋体"/>
                <w:sz w:val="20"/>
                <w:szCs w:val="20"/>
              </w:rPr>
            </w:pPr>
            <w:r>
              <w:rPr>
                <w:rFonts w:hint="eastAsia"/>
                <w:b/>
                <w:bCs/>
                <w:sz w:val="20"/>
                <w:szCs w:val="20"/>
              </w:rPr>
              <w:t>环保配套工程：</w:t>
            </w:r>
            <w:r>
              <w:rPr>
                <w:rFonts w:hint="eastAsia"/>
                <w:sz w:val="20"/>
                <w:szCs w:val="20"/>
              </w:rPr>
              <w:t>①荷塘中心河流域内源污染治理工程；②荷塘生活污水处理厂三期工程；③荷塘镇三期污水管网项目；④荷塘镇取水口迁建工程；⑤荷塘中心河流域水系连通工程；⑥荷塘镇西闸水闸重建工程；⑦荷塘镇马梪电排站重建工程；⑧荷塘围南村、霞村段堤防修复工程；⑨荷塘中心河流域活水调度工程</w:t>
            </w:r>
          </w:p>
        </w:tc>
      </w:tr>
    </w:tbl>
    <w:p>
      <w:pPr>
        <w:pStyle w:val="3"/>
        <w:ind w:firstLine="643" w:firstLineChars="200"/>
        <w:rPr>
          <w:rFonts w:ascii="黑体" w:hAnsi="黑体" w:eastAsia="黑体" w:cs="仿宋_GB2312"/>
        </w:rPr>
      </w:pPr>
      <w:bookmarkStart w:id="19" w:name="_Toc56692963"/>
      <w:r>
        <w:rPr>
          <w:rFonts w:hint="eastAsia" w:ascii="黑体" w:hAnsi="黑体" w:eastAsia="黑体" w:cs="仿宋_GB2312"/>
        </w:rPr>
        <w:t>第七章  加强公共服务，增进人民福祉</w:t>
      </w:r>
      <w:bookmarkEnd w:id="19"/>
    </w:p>
    <w:p>
      <w:pPr>
        <w:ind w:firstLine="640" w:firstLineChars="200"/>
        <w:rPr>
          <w:rFonts w:ascii="仿宋" w:hAnsi="仿宋" w:eastAsia="仿宋"/>
          <w:sz w:val="32"/>
          <w:szCs w:val="32"/>
        </w:rPr>
      </w:pPr>
      <w:r>
        <w:rPr>
          <w:rFonts w:hint="eastAsia" w:ascii="仿宋" w:hAnsi="仿宋" w:eastAsia="仿宋"/>
          <w:sz w:val="32"/>
          <w:szCs w:val="32"/>
        </w:rPr>
        <w:t>聚焦民生保障，加大兜底保障力度，加强就业、医疗、教育、养老等社会服务，提升公共服务供给水平。巩固脱贫攻坚成果，推进荷塘敬老院的“公建民营”改革，提升养老服务水平。结合产业升级开发更多适合高校毕业生的就业岗位，促进以高校毕业生为重点的青年就业和农村转移劳动力、城镇困难人员、转业军人就业；重视卫生领域设施短板，加快镇卫生院升级改造工程，依托镇卫生院大力开展医养结合工作，以荷塘医院为技术服务核心，整合周边建设用地，开展医养综合体建设项目，赋予综合医疗、中老年病、常见病医疗、养老护理功能，布局二级综合医院+康复医疗住院部+护理功能型养公寓，提升基层公共卫生服务能力；加快基本公共教育优质均衡发展，强化提升中、小学教育，推进优化职业教育、继续教育，全面提交教育质量，促进教育公平；建立市场运作与政府引导相结合的养老服务业产业体系，提升社会养老保障力度。对现有荷塘汽车站进行升级改造，盘活周边空置、低效利用厂房资源，拓展商贸、物流、邮政功能。</w:t>
      </w:r>
    </w:p>
    <w:p>
      <w:pPr>
        <w:ind w:firstLine="640" w:firstLineChars="200"/>
        <w:rPr>
          <w:rFonts w:ascii="仿宋" w:hAnsi="仿宋" w:eastAsia="仿宋"/>
          <w:sz w:val="32"/>
          <w:szCs w:val="32"/>
        </w:rPr>
      </w:pPr>
    </w:p>
    <w:p>
      <w:pPr>
        <w:pStyle w:val="3"/>
        <w:ind w:firstLine="643" w:firstLineChars="200"/>
        <w:rPr>
          <w:rFonts w:ascii="黑体" w:hAnsi="黑体" w:eastAsia="黑体" w:cs="仿宋_GB2312"/>
        </w:rPr>
      </w:pPr>
      <w:bookmarkStart w:id="20" w:name="_Toc56692964"/>
      <w:r>
        <w:rPr>
          <w:rFonts w:hint="eastAsia" w:ascii="黑体" w:hAnsi="黑体" w:eastAsia="黑体" w:cs="仿宋_GB2312"/>
        </w:rPr>
        <w:t>第八章  加强和创新社会治理，推进共建共治共享</w:t>
      </w:r>
      <w:bookmarkEnd w:id="20"/>
    </w:p>
    <w:p>
      <w:pPr>
        <w:ind w:firstLine="640" w:firstLineChars="200"/>
        <w:rPr>
          <w:rFonts w:ascii="仿宋" w:hAnsi="仿宋" w:eastAsia="仿宋"/>
          <w:sz w:val="32"/>
          <w:szCs w:val="32"/>
        </w:rPr>
      </w:pPr>
      <w:r>
        <w:rPr>
          <w:rFonts w:hint="eastAsia" w:ascii="仿宋" w:hAnsi="仿宋" w:eastAsia="仿宋"/>
          <w:sz w:val="32"/>
          <w:szCs w:val="32"/>
        </w:rPr>
        <w:t>依托荷塘镇一门式与蓬江区一门式对接服务平台，推进法人、自然人一门式窗口优化调整，全面推行“5+X”预约服务模式，探索推动更多政务服务事项进驻一门式办理；健全依法科学民主决策机制，扎实推进行政执法“三项制度”工作，强化基层党组织“四议两公开”民主决策作用；建立完善社会风险预警预测及灾害防御机制，提高社会风险保障及疫情防控能力；深入开展“党建+N全科网格”综合治理管理机制建设；规范安全生产监察监管，全面落实企业安全生产主体责任，健全统一协调、相互协作的安全生产联合执法机制；树立安全发展理念，加强安全监管执法队伍建设，创新社会治安防控体系，大力推动平安乡村建设；深化乡村振兴，全力改善镇容镇貌，持续推进依法治镇创建工作。</w:t>
      </w:r>
    </w:p>
    <w:p>
      <w:pPr>
        <w:pStyle w:val="2"/>
        <w:ind w:firstLine="643" w:firstLineChars="200"/>
        <w:rPr>
          <w:rFonts w:ascii="黑体" w:hAnsi="黑体" w:eastAsia="黑体" w:cs="仿宋_GB2312"/>
          <w:sz w:val="32"/>
          <w:szCs w:val="32"/>
        </w:rPr>
      </w:pPr>
      <w:bookmarkStart w:id="21" w:name="_Toc56692965"/>
      <w:r>
        <w:rPr>
          <w:rFonts w:hint="eastAsia" w:ascii="黑体" w:hAnsi="黑体" w:eastAsia="黑体" w:cs="仿宋_GB2312"/>
          <w:sz w:val="32"/>
          <w:szCs w:val="32"/>
        </w:rPr>
        <w:t>第三篇  组织规划实施保障</w:t>
      </w:r>
      <w:bookmarkEnd w:id="21"/>
    </w:p>
    <w:p>
      <w:pPr>
        <w:pStyle w:val="3"/>
        <w:ind w:firstLine="643" w:firstLineChars="200"/>
        <w:rPr>
          <w:rFonts w:ascii="黑体" w:hAnsi="黑体" w:eastAsia="黑体" w:cs="仿宋_GB2312"/>
        </w:rPr>
      </w:pPr>
      <w:bookmarkStart w:id="22" w:name="_Toc56692966"/>
      <w:r>
        <w:rPr>
          <w:rFonts w:hint="eastAsia" w:ascii="黑体" w:hAnsi="黑体" w:eastAsia="黑体" w:cs="仿宋_GB2312"/>
        </w:rPr>
        <w:t>第九章  强化党组织的领导核心作用</w:t>
      </w:r>
      <w:bookmarkEnd w:id="22"/>
    </w:p>
    <w:p>
      <w:pPr>
        <w:ind w:firstLine="640" w:firstLineChars="200"/>
        <w:rPr>
          <w:rFonts w:ascii="仿宋" w:hAnsi="仿宋" w:eastAsia="仿宋"/>
          <w:sz w:val="32"/>
          <w:szCs w:val="32"/>
        </w:rPr>
      </w:pPr>
      <w:r>
        <w:rPr>
          <w:rFonts w:hint="eastAsia" w:ascii="仿宋" w:hAnsi="仿宋" w:eastAsia="仿宋"/>
          <w:sz w:val="32"/>
          <w:szCs w:val="32"/>
        </w:rPr>
        <w:t>坚持党的全面领导，发挥镇委（党组）领导核心作用，协调各方，充分调动一切积极因素，为实施“十四五”规划提供坚持保障。加强党的集中统一领导，</w:t>
      </w:r>
      <w:r>
        <w:rPr>
          <w:rFonts w:hint="eastAsia" w:ascii="仿宋" w:hAnsi="仿宋" w:eastAsia="仿宋"/>
          <w:sz w:val="32"/>
          <w:szCs w:val="32"/>
          <w:lang w:eastAsia="zh-CN"/>
        </w:rPr>
        <w:t>全面</w:t>
      </w:r>
      <w:r>
        <w:rPr>
          <w:rFonts w:hint="eastAsia" w:ascii="仿宋" w:hAnsi="仿宋" w:eastAsia="仿宋"/>
          <w:sz w:val="32"/>
          <w:szCs w:val="32"/>
        </w:rPr>
        <w:t>从严治党，提高党的领导能力和水平；加强领导班子和干部队伍建设，调动领导干部的积极性、主动性和创造性；加强镇、村两级的基层党组织整体功能，发挥党员先锋模范作用，更好带领群众开展社会主义现代化建设；充分发挥工会、共青团、妇联、等群团组织和无党派认识的作用，最大限度凝聚全社会共识和力量，广泛团结一切可以团结的力量，形成推动发展的强大合力。</w:t>
      </w:r>
      <w:bookmarkStart w:id="25" w:name="_GoBack"/>
      <w:bookmarkEnd w:id="25"/>
    </w:p>
    <w:p>
      <w:pPr>
        <w:pStyle w:val="3"/>
        <w:ind w:firstLine="643" w:firstLineChars="200"/>
        <w:rPr>
          <w:rFonts w:ascii="黑体" w:hAnsi="黑体" w:eastAsia="黑体" w:cs="仿宋_GB2312"/>
        </w:rPr>
      </w:pPr>
      <w:bookmarkStart w:id="23" w:name="_Toc56692967"/>
      <w:r>
        <w:rPr>
          <w:rFonts w:hint="eastAsia" w:ascii="黑体" w:hAnsi="黑体" w:eastAsia="黑体" w:cs="仿宋_GB2312"/>
        </w:rPr>
        <w:t>第十章  注重政府的引导实施作用</w:t>
      </w:r>
      <w:bookmarkEnd w:id="23"/>
    </w:p>
    <w:p>
      <w:pPr>
        <w:ind w:firstLine="640" w:firstLineChars="200"/>
        <w:rPr>
          <w:rFonts w:ascii="仿宋" w:hAnsi="仿宋" w:eastAsia="仿宋"/>
          <w:sz w:val="32"/>
          <w:szCs w:val="32"/>
        </w:rPr>
      </w:pPr>
      <w:r>
        <w:rPr>
          <w:rFonts w:hint="eastAsia" w:ascii="仿宋" w:hAnsi="仿宋" w:eastAsia="仿宋"/>
          <w:sz w:val="32"/>
          <w:szCs w:val="32"/>
        </w:rPr>
        <w:t>明确政府主体责任，加强统筹管理和衔接协调，做好发展目标、重点任务、重大工程与区级规划的衔接，积极配合落实上级政策和科学配置公共资源，切实贯彻落实上级规划的统一部署；各相关部门要加强对规划实施的组织、协调和督导，明确对规划中的经济指标、重大工程项目等任务的实施进度要求、责任主体，确保如期完成；加强财政预算在规划实施中的支撑保障作用，做好财政支出与规划实施的衔接协调，合理安排支出规模和结构。</w:t>
      </w:r>
    </w:p>
    <w:p>
      <w:pPr>
        <w:pStyle w:val="3"/>
        <w:ind w:firstLine="643" w:firstLineChars="200"/>
        <w:rPr>
          <w:rFonts w:ascii="黑体" w:hAnsi="黑体" w:eastAsia="黑体" w:cs="仿宋_GB2312"/>
        </w:rPr>
      </w:pPr>
      <w:bookmarkStart w:id="24" w:name="_Toc56692968"/>
      <w:r>
        <w:rPr>
          <w:rFonts w:hint="eastAsia" w:ascii="黑体" w:hAnsi="黑体" w:eastAsia="黑体" w:cs="仿宋_GB2312"/>
        </w:rPr>
        <w:t>第十一章  发挥社会的主体落实作用</w:t>
      </w:r>
      <w:bookmarkEnd w:id="24"/>
    </w:p>
    <w:p>
      <w:pPr>
        <w:ind w:firstLine="640" w:firstLineChars="200"/>
        <w:rPr>
          <w:rFonts w:ascii="仿宋" w:hAnsi="仿宋" w:eastAsia="仿宋"/>
          <w:sz w:val="32"/>
          <w:szCs w:val="32"/>
        </w:rPr>
      </w:pPr>
      <w:r>
        <w:rPr>
          <w:rFonts w:hint="eastAsia" w:ascii="仿宋" w:hAnsi="仿宋" w:eastAsia="仿宋"/>
          <w:sz w:val="32"/>
          <w:szCs w:val="32"/>
        </w:rPr>
        <w:t>国民经济与社会发展主要依靠市场主体的自主行为实现，坚持以人民为中心，加强人民群众的社会建设主人翁意识，激发和广泛动员社会力量，发挥和调用社会各界的积极性、主动性和创造性，汇聚人民群众智慧，万众一心，共同推动规划顺利落地实施。</w:t>
      </w:r>
    </w:p>
    <w:sectPr>
      <w:headerReference r:id="rId4" w:type="first"/>
      <w:footerReference r:id="rId6" w:type="firs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7148430"/>
    </w:sdtPr>
    <w:sdtContent>
      <w:p>
        <w:pPr>
          <w:pStyle w:val="8"/>
          <w:jc w:val="center"/>
        </w:pPr>
        <w:r>
          <w:fldChar w:fldCharType="begin"/>
        </w:r>
        <w:r>
          <w:instrText xml:space="preserve">PAGE   \* MERGEFORMAT</w:instrText>
        </w:r>
        <w:r>
          <w:fldChar w:fldCharType="separate"/>
        </w:r>
        <w:r>
          <w:rPr>
            <w:lang w:val="zh-CN"/>
          </w:rPr>
          <w:t>22</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0891670"/>
    </w:sdtPr>
    <w:sdtContent>
      <w:p>
        <w:pPr>
          <w:pStyle w:val="8"/>
          <w:jc w:val="center"/>
        </w:pPr>
        <w:r>
          <w:fldChar w:fldCharType="begin"/>
        </w:r>
        <w:r>
          <w:instrText xml:space="preserve">PAGE   \* MERGEFORMAT</w:instrText>
        </w:r>
        <w:r>
          <w:fldChar w:fldCharType="separate"/>
        </w:r>
        <w:r>
          <w:rPr>
            <w:lang w:val="zh-CN"/>
          </w:rPr>
          <w:t>0</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U3MGY3NDlmOTUwY2EzMGRiNWI4ZmVkODU4NjllODYifQ=="/>
  </w:docVars>
  <w:rsids>
    <w:rsidRoot w:val="00A203FE"/>
    <w:rsid w:val="00000524"/>
    <w:rsid w:val="00033D24"/>
    <w:rsid w:val="00036F40"/>
    <w:rsid w:val="00043B50"/>
    <w:rsid w:val="00044784"/>
    <w:rsid w:val="0006023F"/>
    <w:rsid w:val="00071D07"/>
    <w:rsid w:val="00081CF3"/>
    <w:rsid w:val="00093994"/>
    <w:rsid w:val="000C160C"/>
    <w:rsid w:val="000D7C78"/>
    <w:rsid w:val="000E541F"/>
    <w:rsid w:val="000F67F2"/>
    <w:rsid w:val="000F69FB"/>
    <w:rsid w:val="00105CAE"/>
    <w:rsid w:val="0012220D"/>
    <w:rsid w:val="001518ED"/>
    <w:rsid w:val="00193945"/>
    <w:rsid w:val="001B6834"/>
    <w:rsid w:val="001C19C3"/>
    <w:rsid w:val="001C7330"/>
    <w:rsid w:val="001E5E6F"/>
    <w:rsid w:val="001F3B22"/>
    <w:rsid w:val="00203DA8"/>
    <w:rsid w:val="00220009"/>
    <w:rsid w:val="0022340E"/>
    <w:rsid w:val="00233B66"/>
    <w:rsid w:val="002353D4"/>
    <w:rsid w:val="00240210"/>
    <w:rsid w:val="00246A19"/>
    <w:rsid w:val="00267CC9"/>
    <w:rsid w:val="0028429B"/>
    <w:rsid w:val="00290EC3"/>
    <w:rsid w:val="002A2E32"/>
    <w:rsid w:val="002A4080"/>
    <w:rsid w:val="002B5B00"/>
    <w:rsid w:val="002C2523"/>
    <w:rsid w:val="002C51B5"/>
    <w:rsid w:val="002C6B02"/>
    <w:rsid w:val="002D08C1"/>
    <w:rsid w:val="002E324D"/>
    <w:rsid w:val="00300575"/>
    <w:rsid w:val="00301120"/>
    <w:rsid w:val="00312790"/>
    <w:rsid w:val="00334551"/>
    <w:rsid w:val="003422E7"/>
    <w:rsid w:val="003436D0"/>
    <w:rsid w:val="0036076E"/>
    <w:rsid w:val="00376014"/>
    <w:rsid w:val="00383892"/>
    <w:rsid w:val="00385FF0"/>
    <w:rsid w:val="00397AB4"/>
    <w:rsid w:val="003A3D99"/>
    <w:rsid w:val="003E50DA"/>
    <w:rsid w:val="0040516B"/>
    <w:rsid w:val="004209CF"/>
    <w:rsid w:val="00422281"/>
    <w:rsid w:val="004406A6"/>
    <w:rsid w:val="00443DE0"/>
    <w:rsid w:val="0045015B"/>
    <w:rsid w:val="00466970"/>
    <w:rsid w:val="004670F2"/>
    <w:rsid w:val="00467EC2"/>
    <w:rsid w:val="00473E46"/>
    <w:rsid w:val="00492C7D"/>
    <w:rsid w:val="004B3D35"/>
    <w:rsid w:val="004D1C8B"/>
    <w:rsid w:val="004D62F8"/>
    <w:rsid w:val="004E4362"/>
    <w:rsid w:val="004F7EDD"/>
    <w:rsid w:val="00506BAC"/>
    <w:rsid w:val="005519D2"/>
    <w:rsid w:val="005668EC"/>
    <w:rsid w:val="00596383"/>
    <w:rsid w:val="005A7FDA"/>
    <w:rsid w:val="005C4314"/>
    <w:rsid w:val="005D4DAE"/>
    <w:rsid w:val="005E2194"/>
    <w:rsid w:val="005E53F9"/>
    <w:rsid w:val="005E76F8"/>
    <w:rsid w:val="0062266E"/>
    <w:rsid w:val="006323FE"/>
    <w:rsid w:val="00633DA5"/>
    <w:rsid w:val="00643605"/>
    <w:rsid w:val="00650437"/>
    <w:rsid w:val="00661283"/>
    <w:rsid w:val="006A7F86"/>
    <w:rsid w:val="006C175E"/>
    <w:rsid w:val="006C4485"/>
    <w:rsid w:val="006C4C6B"/>
    <w:rsid w:val="006C75EF"/>
    <w:rsid w:val="006D3286"/>
    <w:rsid w:val="006E6476"/>
    <w:rsid w:val="006F124E"/>
    <w:rsid w:val="006F29C2"/>
    <w:rsid w:val="006F30DB"/>
    <w:rsid w:val="006F56EE"/>
    <w:rsid w:val="00703A42"/>
    <w:rsid w:val="00712EC4"/>
    <w:rsid w:val="0072118F"/>
    <w:rsid w:val="0072765E"/>
    <w:rsid w:val="0076472F"/>
    <w:rsid w:val="00764950"/>
    <w:rsid w:val="00766D83"/>
    <w:rsid w:val="00771CB7"/>
    <w:rsid w:val="0078737A"/>
    <w:rsid w:val="007B2403"/>
    <w:rsid w:val="007C58FA"/>
    <w:rsid w:val="007E7EF8"/>
    <w:rsid w:val="007F540B"/>
    <w:rsid w:val="00802A86"/>
    <w:rsid w:val="008106C3"/>
    <w:rsid w:val="00815CCD"/>
    <w:rsid w:val="008230FD"/>
    <w:rsid w:val="0082570E"/>
    <w:rsid w:val="00830807"/>
    <w:rsid w:val="008332AE"/>
    <w:rsid w:val="008738F1"/>
    <w:rsid w:val="008822F2"/>
    <w:rsid w:val="008A7B56"/>
    <w:rsid w:val="008C213A"/>
    <w:rsid w:val="008E097E"/>
    <w:rsid w:val="008E730D"/>
    <w:rsid w:val="008F1EC3"/>
    <w:rsid w:val="008F7E87"/>
    <w:rsid w:val="009069A7"/>
    <w:rsid w:val="0094091A"/>
    <w:rsid w:val="00942E82"/>
    <w:rsid w:val="009454F3"/>
    <w:rsid w:val="00955F20"/>
    <w:rsid w:val="00965D1E"/>
    <w:rsid w:val="009840D7"/>
    <w:rsid w:val="009D74B5"/>
    <w:rsid w:val="009F622D"/>
    <w:rsid w:val="00A17FF9"/>
    <w:rsid w:val="00A203FE"/>
    <w:rsid w:val="00A237C4"/>
    <w:rsid w:val="00A53605"/>
    <w:rsid w:val="00A9113A"/>
    <w:rsid w:val="00AA24CF"/>
    <w:rsid w:val="00AA7422"/>
    <w:rsid w:val="00AB7EC0"/>
    <w:rsid w:val="00AB7FEC"/>
    <w:rsid w:val="00AC2DBD"/>
    <w:rsid w:val="00AC76AD"/>
    <w:rsid w:val="00AF688A"/>
    <w:rsid w:val="00B0643D"/>
    <w:rsid w:val="00B15890"/>
    <w:rsid w:val="00B23A91"/>
    <w:rsid w:val="00B66236"/>
    <w:rsid w:val="00B6630C"/>
    <w:rsid w:val="00B67575"/>
    <w:rsid w:val="00B70047"/>
    <w:rsid w:val="00B91E10"/>
    <w:rsid w:val="00BA6357"/>
    <w:rsid w:val="00BA7AD7"/>
    <w:rsid w:val="00BB1FC5"/>
    <w:rsid w:val="00BC07DE"/>
    <w:rsid w:val="00BD7511"/>
    <w:rsid w:val="00BE418D"/>
    <w:rsid w:val="00BF4A0E"/>
    <w:rsid w:val="00C0138B"/>
    <w:rsid w:val="00C02DF6"/>
    <w:rsid w:val="00C04E65"/>
    <w:rsid w:val="00C06E47"/>
    <w:rsid w:val="00C24A03"/>
    <w:rsid w:val="00C416DD"/>
    <w:rsid w:val="00C4798A"/>
    <w:rsid w:val="00C62ED6"/>
    <w:rsid w:val="00C63196"/>
    <w:rsid w:val="00C63DAA"/>
    <w:rsid w:val="00C72D29"/>
    <w:rsid w:val="00C77A79"/>
    <w:rsid w:val="00C82A74"/>
    <w:rsid w:val="00C82EAF"/>
    <w:rsid w:val="00C8629F"/>
    <w:rsid w:val="00C922EA"/>
    <w:rsid w:val="00CA54E8"/>
    <w:rsid w:val="00CB3494"/>
    <w:rsid w:val="00CC4668"/>
    <w:rsid w:val="00CE54EA"/>
    <w:rsid w:val="00D30C36"/>
    <w:rsid w:val="00D375FB"/>
    <w:rsid w:val="00D5109D"/>
    <w:rsid w:val="00D670C4"/>
    <w:rsid w:val="00DB17AE"/>
    <w:rsid w:val="00DB3FA6"/>
    <w:rsid w:val="00DD49AF"/>
    <w:rsid w:val="00DE327F"/>
    <w:rsid w:val="00DF0997"/>
    <w:rsid w:val="00E16A9E"/>
    <w:rsid w:val="00E501D2"/>
    <w:rsid w:val="00E54FC4"/>
    <w:rsid w:val="00E617AD"/>
    <w:rsid w:val="00E67CB8"/>
    <w:rsid w:val="00E762EE"/>
    <w:rsid w:val="00E81F91"/>
    <w:rsid w:val="00E86D31"/>
    <w:rsid w:val="00EA20E5"/>
    <w:rsid w:val="00ED7CF1"/>
    <w:rsid w:val="00EE5711"/>
    <w:rsid w:val="00F07DE4"/>
    <w:rsid w:val="00F2186B"/>
    <w:rsid w:val="00F24284"/>
    <w:rsid w:val="00F90D7D"/>
    <w:rsid w:val="00FA52B0"/>
    <w:rsid w:val="00FB1E44"/>
    <w:rsid w:val="00FC090C"/>
    <w:rsid w:val="00FE1816"/>
    <w:rsid w:val="1D1811E6"/>
    <w:rsid w:val="28422E57"/>
    <w:rsid w:val="2D7B00F5"/>
    <w:rsid w:val="463606AE"/>
    <w:rsid w:val="47C65FF2"/>
    <w:rsid w:val="50D37984"/>
    <w:rsid w:val="50F41C50"/>
    <w:rsid w:val="533168A9"/>
    <w:rsid w:val="54174FB8"/>
    <w:rsid w:val="584A37CB"/>
    <w:rsid w:val="66673ADE"/>
    <w:rsid w:val="77FC501F"/>
    <w:rsid w:val="78297C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3"/>
    <w:semiHidden/>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toc 3"/>
    <w:basedOn w:val="1"/>
    <w:next w:val="1"/>
    <w:unhideWhenUsed/>
    <w:qFormat/>
    <w:uiPriority w:val="39"/>
    <w:pPr>
      <w:widowControl/>
      <w:spacing w:after="100" w:line="276" w:lineRule="auto"/>
      <w:ind w:left="440"/>
      <w:jc w:val="left"/>
    </w:pPr>
    <w:rPr>
      <w:kern w:val="0"/>
      <w:sz w:val="22"/>
    </w:rPr>
  </w:style>
  <w:style w:type="paragraph" w:styleId="7">
    <w:name w:val="Balloon Text"/>
    <w:basedOn w:val="1"/>
    <w:link w:val="21"/>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76" w:lineRule="auto"/>
      <w:jc w:val="left"/>
    </w:pPr>
    <w:rPr>
      <w:kern w:val="0"/>
      <w:sz w:val="22"/>
    </w:rPr>
  </w:style>
  <w:style w:type="paragraph" w:styleId="11">
    <w:name w:val="toc 2"/>
    <w:basedOn w:val="1"/>
    <w:next w:val="1"/>
    <w:unhideWhenUsed/>
    <w:qFormat/>
    <w:uiPriority w:val="39"/>
    <w:pPr>
      <w:widowControl/>
      <w:spacing w:after="100" w:line="276" w:lineRule="auto"/>
      <w:ind w:left="220"/>
      <w:jc w:val="left"/>
    </w:pPr>
    <w:rPr>
      <w:kern w:val="0"/>
      <w:sz w:val="22"/>
    </w:rPr>
  </w:style>
  <w:style w:type="character" w:styleId="14">
    <w:name w:val="Hyperlink"/>
    <w:basedOn w:val="13"/>
    <w:unhideWhenUsed/>
    <w:qFormat/>
    <w:uiPriority w:val="99"/>
    <w:rPr>
      <w:color w:val="0000FF"/>
      <w:u w:val="single"/>
    </w:rPr>
  </w:style>
  <w:style w:type="character" w:styleId="15">
    <w:name w:val="annotation reference"/>
    <w:basedOn w:val="13"/>
    <w:semiHidden/>
    <w:unhideWhenUsed/>
    <w:qFormat/>
    <w:uiPriority w:val="99"/>
    <w:rPr>
      <w:sz w:val="21"/>
      <w:szCs w:val="21"/>
    </w:r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1 Char"/>
    <w:basedOn w:val="13"/>
    <w:link w:val="2"/>
    <w:qFormat/>
    <w:uiPriority w:val="9"/>
    <w:rPr>
      <w:b/>
      <w:bCs/>
      <w:kern w:val="44"/>
      <w:sz w:val="44"/>
      <w:szCs w:val="44"/>
    </w:rPr>
  </w:style>
  <w:style w:type="paragraph" w:customStyle="1" w:styleId="2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1">
    <w:name w:val="批注框文本 Char"/>
    <w:basedOn w:val="13"/>
    <w:link w:val="7"/>
    <w:semiHidden/>
    <w:qFormat/>
    <w:uiPriority w:val="99"/>
    <w:rPr>
      <w:sz w:val="18"/>
      <w:szCs w:val="18"/>
    </w:rPr>
  </w:style>
  <w:style w:type="character" w:customStyle="1" w:styleId="22">
    <w:name w:val="标题 2 Char"/>
    <w:basedOn w:val="13"/>
    <w:link w:val="3"/>
    <w:semiHidden/>
    <w:qFormat/>
    <w:uiPriority w:val="9"/>
    <w:rPr>
      <w:rFonts w:asciiTheme="majorHAnsi" w:hAnsiTheme="majorHAnsi" w:eastAsiaTheme="majorEastAsia" w:cstheme="majorBidi"/>
      <w:b/>
      <w:bCs/>
      <w:sz w:val="32"/>
      <w:szCs w:val="32"/>
    </w:rPr>
  </w:style>
  <w:style w:type="character" w:customStyle="1" w:styleId="23">
    <w:name w:val="标题 3 Char"/>
    <w:basedOn w:val="13"/>
    <w:link w:val="4"/>
    <w:semiHidden/>
    <w:qFormat/>
    <w:uiPriority w:val="9"/>
    <w:rPr>
      <w:b/>
      <w:bCs/>
      <w:sz w:val="32"/>
      <w:szCs w:val="32"/>
    </w:rPr>
  </w:style>
  <w:style w:type="paragraph" w:customStyle="1" w:styleId="24">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4801A-2103-42FB-BCE1-F50FBFB70932}">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28</Pages>
  <Words>13820</Words>
  <Characters>14384</Characters>
  <Lines>115</Lines>
  <Paragraphs>32</Paragraphs>
  <TotalTime>31</TotalTime>
  <ScaleCrop>false</ScaleCrop>
  <LinksUpToDate>false</LinksUpToDate>
  <CharactersWithSpaces>14529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2021-12-02T01:35:00Z</dcterms:created>
  <dc:creator>Windows User</dc:creator>
  <cp:lastModifiedBy>Administrator</cp:lastModifiedBy>
  <cp:lastPrinted>2021-12-02T01:42:00Z</cp:lastPrinted>
  <dcterms:modified xsi:type="dcterms:W3CDTF">2024-09-30T09:18:05Z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B1C5C76D658D460A8658D90B2A071AD2</vt:lpwstr>
  </property>
</Properties>
</file>