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82C434">
      <w:pPr>
        <w:keepNext w:val="0"/>
        <w:keepLines w:val="0"/>
        <w:pageBreakBefore w:val="0"/>
        <w:tabs>
          <w:tab w:val="left" w:pos="8100"/>
          <w:tab w:val="left" w:pos="8460"/>
        </w:tabs>
        <w:kinsoku/>
        <w:wordWrap/>
        <w:overflowPunct/>
        <w:topLinePunct w:val="0"/>
        <w:bidi w:val="0"/>
        <w:snapToGrid/>
        <w:spacing w:line="560" w:lineRule="exact"/>
        <w:jc w:val="center"/>
        <w:rPr>
          <w:rFonts w:hint="eastAsia" w:ascii="方正小标宋_GBK" w:hAnsi="方正小标宋_GBK" w:eastAsia="方正小标宋_GBK" w:cs="方正小标宋_GBK"/>
          <w:kern w:val="0"/>
          <w:sz w:val="44"/>
          <w:szCs w:val="44"/>
        </w:rPr>
      </w:pPr>
      <w:bookmarkStart w:id="0" w:name="_GoBack"/>
      <w:r>
        <w:rPr>
          <w:rFonts w:hint="eastAsia" w:ascii="方正小标宋_GBK" w:hAnsi="方正小标宋_GBK" w:eastAsia="方正小标宋_GBK" w:cs="方正小标宋_GBK"/>
          <w:kern w:val="0"/>
          <w:sz w:val="44"/>
          <w:szCs w:val="44"/>
        </w:rPr>
        <w:t>行政执法委托协议书</w:t>
      </w:r>
      <w:bookmarkEnd w:id="0"/>
    </w:p>
    <w:p w14:paraId="78ED3FEF">
      <w:pPr>
        <w:pStyle w:val="21"/>
        <w:keepNext w:val="0"/>
        <w:keepLines w:val="0"/>
        <w:pageBreakBefore w:val="0"/>
        <w:kinsoku/>
        <w:wordWrap/>
        <w:overflowPunct/>
        <w:topLinePunct w:val="0"/>
        <w:bidi w:val="0"/>
        <w:snapToGrid/>
        <w:spacing w:line="560" w:lineRule="exact"/>
        <w:rPr>
          <w:rFonts w:hint="eastAsia"/>
          <w:lang w:eastAsia="zh-CN"/>
        </w:rPr>
      </w:pPr>
    </w:p>
    <w:p w14:paraId="6E4801A9">
      <w:pPr>
        <w:keepNext w:val="0"/>
        <w:keepLines w:val="0"/>
        <w:pageBreakBefore w:val="0"/>
        <w:widowControl w:val="0"/>
        <w:tabs>
          <w:tab w:val="left" w:pos="8100"/>
          <w:tab w:val="left" w:pos="8460"/>
        </w:tabs>
        <w:kinsoku/>
        <w:wordWrap/>
        <w:overflowPunct/>
        <w:topLinePunct w:val="0"/>
        <w:bidi w:val="0"/>
        <w:snapToGrid/>
        <w:spacing w:line="560" w:lineRule="exact"/>
        <w:ind w:firstLine="640" w:firstLineChars="200"/>
        <w:textAlignment w:val="auto"/>
        <w:rPr>
          <w:rFonts w:hint="eastAsia" w:ascii="仿宋_GB2312" w:hAnsi="微软雅黑" w:eastAsia="仿宋_GB2312" w:cs="宋体"/>
          <w:color w:val="333333"/>
          <w:kern w:val="0"/>
          <w:sz w:val="32"/>
          <w:szCs w:val="32"/>
        </w:rPr>
      </w:pPr>
      <w:r>
        <w:rPr>
          <w:rFonts w:hint="eastAsia" w:ascii="仿宋_GB2312" w:hAnsi="仿宋_GB2312" w:eastAsia="仿宋_GB2312" w:cs="仿宋_GB2312"/>
          <w:sz w:val="32"/>
          <w:szCs w:val="32"/>
        </w:rPr>
        <w:t>委托单位：</w:t>
      </w:r>
      <w:r>
        <w:rPr>
          <w:rFonts w:hint="eastAsia" w:ascii="仿宋_GB2312" w:hAnsi="仿宋_GB2312" w:eastAsia="仿宋_GB2312" w:cs="仿宋_GB2312"/>
          <w:sz w:val="32"/>
          <w:szCs w:val="32"/>
          <w:lang w:val="en-US" w:eastAsia="zh-CN"/>
        </w:rPr>
        <w:t>江门市蓬江区</w:t>
      </w:r>
      <w:r>
        <w:rPr>
          <w:rFonts w:hint="eastAsia" w:ascii="仿宋_GB2312" w:hAnsi="微软雅黑" w:eastAsia="仿宋_GB2312" w:cs="宋体"/>
          <w:color w:val="333333"/>
          <w:kern w:val="0"/>
          <w:sz w:val="32"/>
          <w:szCs w:val="32"/>
        </w:rPr>
        <w:t>消防救援大队  </w:t>
      </w:r>
    </w:p>
    <w:p w14:paraId="39620600">
      <w:pPr>
        <w:keepNext w:val="0"/>
        <w:keepLines w:val="0"/>
        <w:pageBreakBefore w:val="0"/>
        <w:widowControl w:val="0"/>
        <w:tabs>
          <w:tab w:val="left" w:pos="8100"/>
          <w:tab w:val="left" w:pos="8460"/>
        </w:tabs>
        <w:kinsoku/>
        <w:wordWrap/>
        <w:overflowPunct/>
        <w:topLinePunct w:val="0"/>
        <w:bidi w:val="0"/>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法定代表人：</w:t>
      </w:r>
      <w:r>
        <w:rPr>
          <w:rFonts w:hint="eastAsia" w:ascii="仿宋_GB2312" w:hAnsi="仿宋_GB2312" w:eastAsia="仿宋_GB2312" w:cs="仿宋_GB2312"/>
          <w:sz w:val="32"/>
          <w:szCs w:val="32"/>
          <w:lang w:val="en-US" w:eastAsia="zh-CN"/>
        </w:rPr>
        <w:t>胡志俭</w:t>
      </w:r>
    </w:p>
    <w:p w14:paraId="158AD6A7">
      <w:pPr>
        <w:pStyle w:val="29"/>
        <w:keepNext w:val="0"/>
        <w:keepLines w:val="0"/>
        <w:pageBreakBefore w:val="0"/>
        <w:widowControl w:val="0"/>
        <w:kinsoku/>
        <w:wordWrap/>
        <w:overflowPunct/>
        <w:topLinePunct w:val="0"/>
        <w:bidi w:val="0"/>
        <w:snapToGrid/>
        <w:spacing w:line="560" w:lineRule="exact"/>
        <w:ind w:firstLine="64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地址：江门市西区工业路8号</w:t>
      </w:r>
    </w:p>
    <w:p w14:paraId="5CE2F9C6">
      <w:pPr>
        <w:pStyle w:val="29"/>
        <w:keepNext w:val="0"/>
        <w:keepLines w:val="0"/>
        <w:pageBreakBefore w:val="0"/>
        <w:widowControl w:val="0"/>
        <w:kinsoku/>
        <w:wordWrap/>
        <w:overflowPunct/>
        <w:topLinePunct w:val="0"/>
        <w:bidi w:val="0"/>
        <w:snapToGrid/>
        <w:spacing w:line="560" w:lineRule="exact"/>
        <w:ind w:firstLine="640"/>
        <w:textAlignment w:val="auto"/>
        <w:rPr>
          <w:rFonts w:hint="default" w:ascii="仿宋_GB2312" w:hAnsi="仿宋_GB2312" w:eastAsia="仿宋_GB2312" w:cs="仿宋_GB2312"/>
          <w:sz w:val="32"/>
          <w:szCs w:val="32"/>
          <w:lang w:val="en-US" w:eastAsia="zh-CN"/>
        </w:rPr>
      </w:pPr>
    </w:p>
    <w:p w14:paraId="72350364">
      <w:pPr>
        <w:keepNext w:val="0"/>
        <w:keepLines w:val="0"/>
        <w:pageBreakBefore w:val="0"/>
        <w:widowControl w:val="0"/>
        <w:tabs>
          <w:tab w:val="left" w:pos="8100"/>
          <w:tab w:val="left" w:pos="8460"/>
        </w:tabs>
        <w:kinsoku/>
        <w:wordWrap/>
        <w:overflowPunct/>
        <w:topLinePunct w:val="0"/>
        <w:bidi w:val="0"/>
        <w:snapToGrid/>
        <w:spacing w:line="560" w:lineRule="exact"/>
        <w:ind w:firstLine="640" w:firstLineChars="200"/>
        <w:textAlignment w:val="auto"/>
        <w:rPr>
          <w:rFonts w:hint="default"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sz w:val="32"/>
          <w:szCs w:val="32"/>
        </w:rPr>
        <w:t xml:space="preserve">受委托单位： </w:t>
      </w:r>
      <w:r>
        <w:rPr>
          <w:rFonts w:hint="eastAsia" w:ascii="仿宋_GB2312" w:hAnsi="仿宋_GB2312" w:eastAsia="仿宋_GB2312" w:cs="仿宋_GB2312"/>
          <w:color w:val="000000"/>
          <w:kern w:val="0"/>
          <w:sz w:val="32"/>
          <w:szCs w:val="32"/>
          <w:lang w:val="en-US" w:eastAsia="zh-CN" w:bidi="ar-SA"/>
        </w:rPr>
        <w:t>江门市蓬江区杜阮镇人民政府</w:t>
      </w:r>
    </w:p>
    <w:p w14:paraId="646532F4">
      <w:pPr>
        <w:keepNext w:val="0"/>
        <w:keepLines w:val="0"/>
        <w:pageBreakBefore w:val="0"/>
        <w:widowControl w:val="0"/>
        <w:tabs>
          <w:tab w:val="left" w:pos="8100"/>
          <w:tab w:val="left" w:pos="8460"/>
        </w:tabs>
        <w:kinsoku/>
        <w:wordWrap/>
        <w:overflowPunct/>
        <w:topLinePunct w:val="0"/>
        <w:bidi w:val="0"/>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法定代表人：</w:t>
      </w:r>
      <w:r>
        <w:rPr>
          <w:rFonts w:hint="eastAsia" w:ascii="仿宋_GB2312" w:hAnsi="仿宋_GB2312" w:eastAsia="仿宋_GB2312" w:cs="仿宋_GB2312"/>
          <w:sz w:val="32"/>
          <w:szCs w:val="32"/>
          <w:lang w:val="en-US" w:eastAsia="zh-CN"/>
        </w:rPr>
        <w:t>索良刚</w:t>
      </w:r>
    </w:p>
    <w:p w14:paraId="3523C99D">
      <w:pPr>
        <w:pStyle w:val="29"/>
        <w:keepNext w:val="0"/>
        <w:keepLines w:val="0"/>
        <w:pageBreakBefore w:val="0"/>
        <w:widowControl w:val="0"/>
        <w:kinsoku/>
        <w:wordWrap/>
        <w:overflowPunct/>
        <w:topLinePunct w:val="0"/>
        <w:bidi w:val="0"/>
        <w:snapToGrid/>
        <w:spacing w:line="560" w:lineRule="exact"/>
        <w:ind w:firstLine="64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地址：江门市蓬江区杜阮镇惠民路1号</w:t>
      </w:r>
    </w:p>
    <w:p w14:paraId="56F23243">
      <w:pPr>
        <w:pStyle w:val="29"/>
        <w:keepNext w:val="0"/>
        <w:keepLines w:val="0"/>
        <w:pageBreakBefore w:val="0"/>
        <w:widowControl w:val="0"/>
        <w:kinsoku/>
        <w:wordWrap/>
        <w:overflowPunct/>
        <w:topLinePunct w:val="0"/>
        <w:bidi w:val="0"/>
        <w:snapToGrid/>
        <w:spacing w:line="560" w:lineRule="exact"/>
        <w:ind w:firstLine="640"/>
        <w:textAlignment w:val="auto"/>
        <w:rPr>
          <w:rFonts w:hint="default" w:ascii="仿宋_GB2312" w:hAnsi="仿宋_GB2312" w:eastAsia="仿宋_GB2312" w:cs="仿宋_GB2312"/>
          <w:sz w:val="32"/>
          <w:szCs w:val="32"/>
          <w:lang w:val="en-US" w:eastAsia="zh-CN"/>
        </w:rPr>
      </w:pPr>
    </w:p>
    <w:p w14:paraId="56DEEC26">
      <w:pPr>
        <w:keepNext w:val="0"/>
        <w:keepLines w:val="0"/>
        <w:pageBreakBefore w:val="0"/>
        <w:widowControl w:val="0"/>
        <w:tabs>
          <w:tab w:val="left" w:pos="8100"/>
          <w:tab w:val="left" w:pos="8460"/>
        </w:tabs>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为了进一步加强消防安全监督管理，规范消防行政执法工作，依法确立行政执法委托</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与受委托</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的权利义务，依据《中华人民共和国行政处罚法》、《中华人民共和国消防法》、《广东省消防工作若干规定》、《广东省实施《中华人民共和国消防法》办法》等有关法律法规规定，现将委托</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行使的消防领域部分行政执法权委托给受委托</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行使。</w:t>
      </w:r>
    </w:p>
    <w:p w14:paraId="5C96AD89">
      <w:pPr>
        <w:keepNext w:val="0"/>
        <w:keepLines w:val="0"/>
        <w:pageBreakBefore w:val="0"/>
        <w:widowControl w:val="0"/>
        <w:tabs>
          <w:tab w:val="left" w:pos="8100"/>
          <w:tab w:val="left" w:pos="8460"/>
        </w:tabs>
        <w:kinsoku/>
        <w:wordWrap/>
        <w:overflowPunct/>
        <w:topLinePunct w:val="0"/>
        <w:bidi w:val="0"/>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一、委托执法范围</w:t>
      </w:r>
    </w:p>
    <w:p w14:paraId="0C2F3DE7">
      <w:pPr>
        <w:keepNext w:val="0"/>
        <w:keepLines w:val="0"/>
        <w:pageBreakBefore w:val="0"/>
        <w:widowControl w:val="0"/>
        <w:tabs>
          <w:tab w:val="left" w:pos="8100"/>
          <w:tab w:val="left" w:pos="8460"/>
        </w:tabs>
        <w:kinsoku/>
        <w:wordWrap/>
        <w:overflowPunct/>
        <w:topLinePunct w:val="0"/>
        <w:bidi w:val="0"/>
        <w:snapToGrid/>
        <w:spacing w:line="560" w:lineRule="exact"/>
        <w:ind w:firstLine="640" w:firstLineChars="200"/>
        <w:textAlignment w:val="auto"/>
        <w:rPr>
          <w:rFonts w:hint="eastAsia" w:ascii="黑体" w:hAnsi="黑体" w:eastAsia="黑体" w:cs="黑体"/>
          <w:sz w:val="32"/>
          <w:szCs w:val="32"/>
        </w:rPr>
      </w:pPr>
      <w:r>
        <w:rPr>
          <w:rFonts w:hint="eastAsia" w:ascii="仿宋_GB2312" w:hAnsi="仿宋_GB2312" w:eastAsia="仿宋_GB2312" w:cs="仿宋_GB2312"/>
          <w:sz w:val="32"/>
          <w:szCs w:val="32"/>
        </w:rPr>
        <w:t>负责本</w:t>
      </w:r>
      <w:r>
        <w:rPr>
          <w:rFonts w:hint="eastAsia" w:ascii="仿宋_GB2312" w:hAnsi="仿宋_GB2312" w:eastAsia="仿宋_GB2312" w:cs="仿宋_GB2312"/>
          <w:sz w:val="32"/>
          <w:szCs w:val="32"/>
          <w:lang w:val="en-US" w:eastAsia="zh-CN"/>
        </w:rPr>
        <w:t>镇</w:t>
      </w:r>
      <w:r>
        <w:rPr>
          <w:rFonts w:hint="eastAsia" w:ascii="仿宋_GB2312" w:hAnsi="仿宋_GB2312" w:eastAsia="仿宋_GB2312" w:cs="仿宋_GB2312"/>
          <w:sz w:val="32"/>
          <w:szCs w:val="32"/>
        </w:rPr>
        <w:t>行政区域内机关、团体、企业、事业单位和个人的消防安全监管工作。</w:t>
      </w:r>
    </w:p>
    <w:p w14:paraId="06139058">
      <w:pPr>
        <w:keepNext w:val="0"/>
        <w:keepLines w:val="0"/>
        <w:pageBreakBefore w:val="0"/>
        <w:widowControl w:val="0"/>
        <w:numPr>
          <w:ilvl w:val="0"/>
          <w:numId w:val="1"/>
        </w:numPr>
        <w:tabs>
          <w:tab w:val="left" w:pos="8100"/>
          <w:tab w:val="left" w:pos="8460"/>
        </w:tabs>
        <w:kinsoku/>
        <w:wordWrap/>
        <w:overflowPunct/>
        <w:topLinePunct w:val="0"/>
        <w:bidi w:val="0"/>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rPr>
        <w:t>委托执法</w:t>
      </w:r>
      <w:r>
        <w:rPr>
          <w:rFonts w:hint="eastAsia" w:ascii="黑体" w:hAnsi="黑体" w:eastAsia="黑体" w:cs="黑体"/>
          <w:sz w:val="32"/>
          <w:szCs w:val="32"/>
          <w:lang w:val="en-US" w:eastAsia="zh-CN"/>
        </w:rPr>
        <w:t>工作内容</w:t>
      </w:r>
    </w:p>
    <w:p w14:paraId="299A35EB">
      <w:pPr>
        <w:keepNext w:val="0"/>
        <w:keepLines w:val="0"/>
        <w:pageBreakBefore w:val="0"/>
        <w:widowControl w:val="0"/>
        <w:tabs>
          <w:tab w:val="left" w:pos="8100"/>
          <w:tab w:val="left" w:pos="8460"/>
        </w:tabs>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受委托单位在委托权限范围内以区级消防部门的名义对消防安全工作行使下列监督管理职权：</w:t>
      </w:r>
    </w:p>
    <w:p w14:paraId="1BFF22C9">
      <w:pPr>
        <w:keepNext w:val="0"/>
        <w:keepLines w:val="0"/>
        <w:pageBreakBefore w:val="0"/>
        <w:widowControl w:val="0"/>
        <w:tabs>
          <w:tab w:val="left" w:pos="8100"/>
          <w:tab w:val="left" w:pos="8460"/>
        </w:tabs>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highlight w:val="none"/>
        </w:rPr>
        <w:t>监督检查权。按照消防法律、法规和规章规定，</w:t>
      </w:r>
      <w:r>
        <w:rPr>
          <w:rFonts w:hint="eastAsia" w:ascii="仿宋_GB2312" w:hAnsi="仿宋_GB2312" w:eastAsia="仿宋_GB2312" w:cs="仿宋_GB2312"/>
          <w:sz w:val="32"/>
          <w:szCs w:val="32"/>
          <w:highlight w:val="none"/>
          <w:lang w:val="en-US" w:eastAsia="zh-CN"/>
        </w:rPr>
        <w:t>由受委托单位对其</w:t>
      </w:r>
      <w:r>
        <w:rPr>
          <w:rFonts w:hint="eastAsia" w:ascii="仿宋_GB2312" w:hAnsi="仿宋_GB2312" w:eastAsia="仿宋_GB2312" w:cs="仿宋_GB2312"/>
          <w:sz w:val="32"/>
          <w:szCs w:val="32"/>
          <w:highlight w:val="none"/>
        </w:rPr>
        <w:t>行政区域内的单位和个人</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以委托单位名义</w:t>
      </w:r>
      <w:r>
        <w:rPr>
          <w:rFonts w:hint="eastAsia" w:ascii="仿宋_GB2312" w:hAnsi="仿宋_GB2312" w:eastAsia="仿宋_GB2312" w:cs="仿宋_GB2312"/>
          <w:sz w:val="32"/>
          <w:szCs w:val="32"/>
          <w:highlight w:val="none"/>
        </w:rPr>
        <w:t>行使</w:t>
      </w:r>
      <w:r>
        <w:rPr>
          <w:rFonts w:hint="eastAsia" w:ascii="仿宋_GB2312" w:hAnsi="仿宋_GB2312" w:eastAsia="仿宋_GB2312" w:cs="仿宋_GB2312"/>
          <w:sz w:val="32"/>
          <w:szCs w:val="32"/>
          <w:highlight w:val="none"/>
          <w:lang w:val="en-US" w:eastAsia="zh-CN"/>
        </w:rPr>
        <w:t>与委托处罚权限相关的</w:t>
      </w:r>
      <w:r>
        <w:rPr>
          <w:rFonts w:hint="eastAsia" w:ascii="仿宋_GB2312" w:hAnsi="仿宋_GB2312" w:eastAsia="仿宋_GB2312" w:cs="仿宋_GB2312"/>
          <w:sz w:val="32"/>
          <w:szCs w:val="32"/>
          <w:highlight w:val="none"/>
        </w:rPr>
        <w:t>监督检查权。对消防安全进行现场检查时，发现单位</w:t>
      </w:r>
      <w:r>
        <w:rPr>
          <w:rFonts w:hint="eastAsia" w:ascii="仿宋_GB2312" w:hAnsi="仿宋_GB2312" w:eastAsia="仿宋_GB2312" w:cs="仿宋_GB2312"/>
          <w:sz w:val="32"/>
          <w:szCs w:val="32"/>
          <w:highlight w:val="none"/>
          <w:lang w:val="en-US" w:eastAsia="zh-CN"/>
        </w:rPr>
        <w:t>或</w:t>
      </w:r>
      <w:r>
        <w:rPr>
          <w:rFonts w:hint="eastAsia" w:ascii="仿宋_GB2312" w:hAnsi="仿宋_GB2312" w:eastAsia="仿宋_GB2312" w:cs="仿宋_GB2312"/>
          <w:sz w:val="32"/>
          <w:szCs w:val="32"/>
          <w:highlight w:val="none"/>
        </w:rPr>
        <w:t>个人有消防安全违法行为，责令违法单位</w:t>
      </w:r>
      <w:r>
        <w:rPr>
          <w:rFonts w:hint="eastAsia" w:ascii="仿宋_GB2312" w:hAnsi="仿宋_GB2312" w:eastAsia="仿宋_GB2312" w:cs="仿宋_GB2312"/>
          <w:sz w:val="32"/>
          <w:szCs w:val="32"/>
          <w:highlight w:val="none"/>
          <w:lang w:val="en-US" w:eastAsia="zh-CN"/>
        </w:rPr>
        <w:t>或</w:t>
      </w:r>
      <w:r>
        <w:rPr>
          <w:rFonts w:hint="eastAsia" w:ascii="仿宋_GB2312" w:hAnsi="仿宋_GB2312" w:eastAsia="仿宋_GB2312" w:cs="仿宋_GB2312"/>
          <w:sz w:val="32"/>
          <w:szCs w:val="32"/>
          <w:highlight w:val="none"/>
        </w:rPr>
        <w:t>个人立即改正或限期改正。</w:t>
      </w:r>
    </w:p>
    <w:p w14:paraId="5E24F270">
      <w:pPr>
        <w:keepNext w:val="0"/>
        <w:keepLines w:val="0"/>
        <w:pageBreakBefore w:val="0"/>
        <w:widowControl w:val="0"/>
        <w:tabs>
          <w:tab w:val="left" w:pos="8100"/>
          <w:tab w:val="left" w:pos="8460"/>
        </w:tabs>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sz w:val="32"/>
          <w:szCs w:val="32"/>
          <w:highlight w:val="none"/>
        </w:rPr>
        <w:t>（二）部</w:t>
      </w:r>
      <w:r>
        <w:rPr>
          <w:rFonts w:hint="eastAsia" w:ascii="仿宋_GB2312" w:hAnsi="仿宋_GB2312" w:eastAsia="仿宋_GB2312" w:cs="仿宋_GB2312"/>
          <w:kern w:val="2"/>
          <w:sz w:val="32"/>
          <w:szCs w:val="32"/>
          <w:highlight w:val="none"/>
          <w:lang w:val="en-US" w:eastAsia="zh-CN" w:bidi="ar-SA"/>
        </w:rPr>
        <w:t>分行政处罚权。受委托单位按照委托权限范围，由受委托单位消防行政执法人员提请委托单位，对受委托单位行政区域内的单位或个人以委托单位名义作出行政处罚（委托权限范围详见附件）。</w:t>
      </w:r>
      <w:r>
        <w:rPr>
          <w:rFonts w:hint="eastAsia" w:ascii="仿宋_GB2312" w:hAnsi="仿宋_GB2312" w:eastAsia="仿宋_GB2312" w:cs="仿宋_GB2312"/>
          <w:sz w:val="32"/>
          <w:szCs w:val="32"/>
          <w:highlight w:val="none"/>
        </w:rPr>
        <w:t>给予</w:t>
      </w:r>
      <w:r>
        <w:rPr>
          <w:rFonts w:hint="eastAsia" w:ascii="仿宋_GB2312" w:hAnsi="仿宋_GB2312" w:eastAsia="仿宋_GB2312" w:cs="仿宋_GB2312"/>
          <w:sz w:val="32"/>
          <w:szCs w:val="32"/>
          <w:highlight w:val="none"/>
          <w:lang w:val="en-US" w:eastAsia="zh-CN"/>
        </w:rPr>
        <w:t>处罚种类：罚款、</w:t>
      </w:r>
      <w:r>
        <w:rPr>
          <w:rFonts w:hint="eastAsia" w:ascii="仿宋_GB2312" w:hAnsi="仿宋_GB2312" w:eastAsia="仿宋_GB2312" w:cs="仿宋_GB2312"/>
          <w:sz w:val="32"/>
          <w:szCs w:val="32"/>
          <w:highlight w:val="none"/>
        </w:rPr>
        <w:t>责令停止使用、责令停产停业</w:t>
      </w:r>
      <w:r>
        <w:rPr>
          <w:rFonts w:hint="eastAsia" w:ascii="仿宋_GB2312" w:hAnsi="仿宋_GB2312" w:eastAsia="仿宋_GB2312" w:cs="仿宋_GB2312"/>
          <w:sz w:val="32"/>
          <w:szCs w:val="32"/>
          <w:highlight w:val="none"/>
          <w:lang w:val="en-US" w:eastAsia="zh-CN"/>
        </w:rPr>
        <w:t>或</w:t>
      </w:r>
      <w:r>
        <w:rPr>
          <w:rFonts w:hint="eastAsia" w:ascii="仿宋_GB2312" w:hAnsi="仿宋_GB2312" w:eastAsia="仿宋_GB2312" w:cs="仿宋_GB2312"/>
          <w:sz w:val="32"/>
          <w:szCs w:val="32"/>
          <w:highlight w:val="none"/>
        </w:rPr>
        <w:t>警告</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对个人</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含个体工商户）</w:t>
      </w:r>
      <w:r>
        <w:rPr>
          <w:rFonts w:hint="eastAsia" w:ascii="仿宋_GB2312" w:hAnsi="仿宋_GB2312" w:eastAsia="仿宋_GB2312" w:cs="仿宋_GB2312"/>
          <w:sz w:val="32"/>
          <w:szCs w:val="32"/>
          <w:highlight w:val="none"/>
        </w:rPr>
        <w:t>给予</w:t>
      </w:r>
      <w:r>
        <w:rPr>
          <w:rFonts w:hint="eastAsia" w:ascii="仿宋_GB2312" w:hAnsi="仿宋_GB2312" w:eastAsia="仿宋_GB2312" w:cs="仿宋_GB2312"/>
          <w:sz w:val="32"/>
          <w:szCs w:val="32"/>
          <w:highlight w:val="none"/>
          <w:lang w:val="en-US" w:eastAsia="zh-CN"/>
        </w:rPr>
        <w:t>五</w:t>
      </w:r>
      <w:r>
        <w:rPr>
          <w:rFonts w:hint="eastAsia" w:ascii="仿宋_GB2312" w:hAnsi="仿宋_GB2312" w:eastAsia="仿宋_GB2312" w:cs="仿宋_GB2312"/>
          <w:sz w:val="32"/>
          <w:szCs w:val="32"/>
          <w:highlight w:val="none"/>
        </w:rPr>
        <w:t>千元以下</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含五</w:t>
      </w:r>
      <w:r>
        <w:rPr>
          <w:rFonts w:hint="eastAsia" w:ascii="仿宋_GB2312" w:hAnsi="仿宋_GB2312" w:eastAsia="仿宋_GB2312" w:cs="仿宋_GB2312"/>
          <w:sz w:val="32"/>
          <w:szCs w:val="32"/>
          <w:highlight w:val="none"/>
        </w:rPr>
        <w:t>千元</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罚款</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对单位给予一万元以下</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含一万元）罚款的行政处罚权。另外，受委托单位依照《中华人民共和国消防法》第六十一条行使处罚权限时，不设处罚权限与幅度的限制，由受委托单位依照《中华人民共和国消防法》第六十一条规定的处罚权限和幅度执行。</w:t>
      </w:r>
    </w:p>
    <w:p w14:paraId="2453A79D">
      <w:pPr>
        <w:keepNext w:val="0"/>
        <w:keepLines w:val="0"/>
        <w:pageBreakBefore w:val="0"/>
        <w:widowControl w:val="0"/>
        <w:tabs>
          <w:tab w:val="left" w:pos="8100"/>
          <w:tab w:val="left" w:pos="8460"/>
        </w:tabs>
        <w:kinsoku/>
        <w:wordWrap/>
        <w:overflowPunct/>
        <w:topLinePunct w:val="0"/>
        <w:autoSpaceDE/>
        <w:autoSpaceDN/>
        <w:bidi w:val="0"/>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（三）委托执法方式。委托单位应当与受委托单位签订《行政执法委托协议书》，明确委托执法的具体范围和权限，7日内</w:t>
      </w:r>
      <w:r>
        <w:rPr>
          <w:rFonts w:hint="eastAsia" w:ascii="仿宋_GB2312" w:hAnsi="仿宋_GB2312" w:eastAsia="仿宋_GB2312" w:cs="仿宋_GB2312"/>
          <w:sz w:val="32"/>
          <w:szCs w:val="32"/>
          <w:highlight w:val="none"/>
        </w:rPr>
        <w:t>委托单位</w:t>
      </w:r>
      <w:r>
        <w:rPr>
          <w:rFonts w:hint="eastAsia" w:ascii="仿宋_GB2312" w:hAnsi="仿宋_GB2312" w:eastAsia="仿宋_GB2312" w:cs="仿宋_GB2312"/>
          <w:kern w:val="2"/>
          <w:sz w:val="32"/>
          <w:szCs w:val="32"/>
          <w:highlight w:val="none"/>
          <w:lang w:val="en-US" w:eastAsia="zh-CN" w:bidi="ar-SA"/>
        </w:rPr>
        <w:t>和受</w:t>
      </w:r>
      <w:r>
        <w:rPr>
          <w:rFonts w:hint="eastAsia" w:ascii="仿宋_GB2312" w:hAnsi="仿宋_GB2312" w:eastAsia="仿宋_GB2312" w:cs="仿宋_GB2312"/>
          <w:sz w:val="32"/>
          <w:szCs w:val="32"/>
          <w:highlight w:val="none"/>
        </w:rPr>
        <w:t>委托单位</w:t>
      </w:r>
      <w:r>
        <w:rPr>
          <w:rFonts w:hint="eastAsia" w:ascii="仿宋_GB2312" w:hAnsi="仿宋_GB2312" w:eastAsia="仿宋_GB2312" w:cs="仿宋_GB2312"/>
          <w:kern w:val="2"/>
          <w:sz w:val="32"/>
          <w:szCs w:val="32"/>
          <w:highlight w:val="none"/>
          <w:lang w:val="en-US" w:eastAsia="zh-CN" w:bidi="ar-SA"/>
        </w:rPr>
        <w:t>将《关于消防行政执法委托执法的公告》在蓬江区人民政府网站和广东省行政执法信息公示平台进行公示。</w:t>
      </w:r>
    </w:p>
    <w:p w14:paraId="698C7949">
      <w:pPr>
        <w:keepNext w:val="0"/>
        <w:keepLines w:val="0"/>
        <w:pageBreakBefore w:val="0"/>
        <w:widowControl w:val="0"/>
        <w:tabs>
          <w:tab w:val="left" w:pos="8100"/>
          <w:tab w:val="left" w:pos="8460"/>
        </w:tabs>
        <w:kinsoku/>
        <w:wordWrap/>
        <w:overflowPunct/>
        <w:topLinePunct w:val="0"/>
        <w:autoSpaceDE/>
        <w:autoSpaceDN/>
        <w:bidi w:val="0"/>
        <w:snapToGrid/>
        <w:spacing w:line="560" w:lineRule="exact"/>
        <w:ind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 （四）委托执法程序。受委托单位参照《中华人民共和国消防法》和</w:t>
      </w:r>
      <w:r>
        <w:rPr>
          <w:rFonts w:hint="eastAsia" w:ascii="仿宋_GB2312" w:hAnsi="仿宋_GB2312" w:eastAsia="仿宋_GB2312" w:cs="仿宋_GB2312"/>
          <w:sz w:val="32"/>
          <w:szCs w:val="32"/>
          <w:highlight w:val="none"/>
          <w:lang w:val="zh-CN" w:eastAsia="zh-CN"/>
        </w:rPr>
        <w:t>《</w:t>
      </w:r>
      <w:r>
        <w:rPr>
          <w:rFonts w:hint="eastAsia" w:ascii="仿宋_GB2312" w:hAnsi="仿宋_GB2312" w:eastAsia="仿宋_GB2312" w:cs="仿宋_GB2312"/>
          <w:sz w:val="32"/>
          <w:szCs w:val="32"/>
          <w:highlight w:val="none"/>
          <w:lang w:val="zh-CN" w:eastAsia="zh-CN"/>
        </w:rPr>
        <w:fldChar w:fldCharType="begin"/>
      </w:r>
      <w:r>
        <w:rPr>
          <w:rFonts w:hint="eastAsia" w:ascii="仿宋_GB2312" w:hAnsi="仿宋_GB2312" w:eastAsia="仿宋_GB2312" w:cs="仿宋_GB2312"/>
          <w:sz w:val="32"/>
          <w:szCs w:val="32"/>
          <w:highlight w:val="none"/>
          <w:lang w:val="zh-CN" w:eastAsia="zh-CN"/>
        </w:rPr>
        <w:instrText xml:space="preserve"> HYPERLINK "https://law.wkinfo.com.cn/document/show?collection=legislation&amp;aid=MTAxMDAxMjUwNTQ%3D&amp;language=中文" </w:instrText>
      </w:r>
      <w:r>
        <w:rPr>
          <w:rFonts w:hint="eastAsia" w:ascii="仿宋_GB2312" w:hAnsi="仿宋_GB2312" w:eastAsia="仿宋_GB2312" w:cs="仿宋_GB2312"/>
          <w:sz w:val="32"/>
          <w:szCs w:val="32"/>
          <w:highlight w:val="none"/>
          <w:lang w:val="zh-CN" w:eastAsia="zh-CN"/>
        </w:rPr>
        <w:fldChar w:fldCharType="separate"/>
      </w:r>
      <w:r>
        <w:rPr>
          <w:rFonts w:hint="eastAsia" w:ascii="仿宋_GB2312" w:hAnsi="仿宋_GB2312" w:eastAsia="仿宋_GB2312" w:cs="仿宋_GB2312"/>
          <w:sz w:val="32"/>
          <w:szCs w:val="32"/>
          <w:highlight w:val="none"/>
          <w:lang w:val="zh-CN" w:eastAsia="zh-CN"/>
        </w:rPr>
        <w:t>中华人民共和国行政处罚法</w:t>
      </w:r>
      <w:r>
        <w:rPr>
          <w:rFonts w:hint="eastAsia" w:ascii="仿宋_GB2312" w:hAnsi="仿宋_GB2312" w:eastAsia="仿宋_GB2312" w:cs="仿宋_GB2312"/>
          <w:sz w:val="32"/>
          <w:szCs w:val="32"/>
          <w:highlight w:val="none"/>
          <w:lang w:val="zh-CN" w:eastAsia="zh-CN"/>
        </w:rPr>
        <w:fldChar w:fldCharType="end"/>
      </w:r>
      <w:r>
        <w:rPr>
          <w:rFonts w:hint="eastAsia" w:ascii="仿宋_GB2312" w:hAnsi="仿宋_GB2312" w:eastAsia="仿宋_GB2312" w:cs="仿宋_GB2312"/>
          <w:sz w:val="32"/>
          <w:szCs w:val="32"/>
          <w:highlight w:val="none"/>
          <w:lang w:val="zh-CN" w:eastAsia="zh-CN"/>
        </w:rPr>
        <w:t>》</w:t>
      </w:r>
      <w:r>
        <w:rPr>
          <w:rFonts w:hint="eastAsia" w:ascii="仿宋_GB2312" w:hAnsi="仿宋_GB2312" w:eastAsia="仿宋_GB2312" w:cs="仿宋_GB2312"/>
          <w:sz w:val="32"/>
          <w:szCs w:val="32"/>
          <w:highlight w:val="none"/>
          <w:lang w:val="en-US" w:eastAsia="zh-CN"/>
        </w:rPr>
        <w:t>等法律法规实施监督检查和行政处罚。</w:t>
      </w:r>
    </w:p>
    <w:p w14:paraId="5FF8D0E0">
      <w:pPr>
        <w:keepNext w:val="0"/>
        <w:keepLines w:val="0"/>
        <w:pageBreakBefore w:val="0"/>
        <w:widowControl w:val="0"/>
        <w:tabs>
          <w:tab w:val="left" w:pos="8100"/>
          <w:tab w:val="left" w:pos="8460"/>
        </w:tabs>
        <w:kinsoku/>
        <w:wordWrap/>
        <w:overflowPunct/>
        <w:topLinePunct w:val="0"/>
        <w:autoSpaceDE/>
        <w:autoSpaceDN/>
        <w:bidi w:val="0"/>
        <w:snapToGrid/>
        <w:spacing w:line="560" w:lineRule="exact"/>
        <w:ind w:firstLine="640" w:firstLineChars="200"/>
        <w:jc w:val="lef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受委托</w:t>
      </w:r>
      <w:r>
        <w:rPr>
          <w:rFonts w:hint="eastAsia" w:ascii="仿宋_GB2312" w:hAnsi="仿宋_GB2312" w:eastAsia="仿宋_GB2312" w:cs="仿宋_GB2312"/>
          <w:sz w:val="32"/>
          <w:szCs w:val="32"/>
          <w:highlight w:val="none"/>
          <w:lang w:val="en-US" w:eastAsia="zh-CN"/>
        </w:rPr>
        <w:t>单位</w:t>
      </w:r>
      <w:r>
        <w:rPr>
          <w:rFonts w:hint="eastAsia" w:ascii="仿宋_GB2312" w:hAnsi="仿宋_GB2312" w:eastAsia="仿宋_GB2312" w:cs="仿宋_GB2312"/>
          <w:sz w:val="32"/>
          <w:szCs w:val="32"/>
          <w:highlight w:val="none"/>
        </w:rPr>
        <w:t>立案查处消防违法行为，必须按照法定程序进行，使用统一制定的执法文书和执法用章。统一使用正规的财政罚没款收据，按正常程序进入财政账户。</w:t>
      </w:r>
    </w:p>
    <w:p w14:paraId="3179F14D">
      <w:pPr>
        <w:keepNext w:val="0"/>
        <w:keepLines w:val="0"/>
        <w:pageBreakBefore w:val="0"/>
        <w:widowControl w:val="0"/>
        <w:tabs>
          <w:tab w:val="left" w:pos="8100"/>
          <w:tab w:val="left" w:pos="8460"/>
        </w:tabs>
        <w:kinsoku/>
        <w:wordWrap/>
        <w:overflowPunct/>
        <w:topLinePunct w:val="0"/>
        <w:autoSpaceDE/>
        <w:autoSpaceDN/>
        <w:bidi w:val="0"/>
        <w:snapToGrid/>
        <w:spacing w:line="560" w:lineRule="exact"/>
        <w:ind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对检查中发现的消防违法行为，超越委托权限的，依照相关规定，经领导审批后及时将案件有关材料报送委托单位立案查处。</w:t>
      </w:r>
    </w:p>
    <w:p w14:paraId="35D93887">
      <w:pPr>
        <w:keepNext w:val="0"/>
        <w:keepLines w:val="0"/>
        <w:pageBreakBefore w:val="0"/>
        <w:widowControl w:val="0"/>
        <w:tabs>
          <w:tab w:val="left" w:pos="8100"/>
          <w:tab w:val="left" w:pos="8460"/>
        </w:tabs>
        <w:kinsoku/>
        <w:wordWrap/>
        <w:overflowPunct/>
        <w:topLinePunct w:val="0"/>
        <w:autoSpaceDE/>
        <w:autoSpaceDN/>
        <w:bidi w:val="0"/>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sz w:val="32"/>
          <w:szCs w:val="32"/>
          <w:highlight w:val="none"/>
          <w:lang w:val="en-US" w:eastAsia="zh-CN"/>
        </w:rPr>
        <w:t>（五）委托执法责任。委托单位对受委托单位的消防行政执法行为进行执法监督。受委托单位消防行政执法行为存在过错、情节严重的，委托单位可以解除行政执法委托协议</w:t>
      </w:r>
      <w:r>
        <w:rPr>
          <w:rFonts w:hint="eastAsia" w:ascii="仿宋_GB2312" w:hAnsi="仿宋_GB2312" w:eastAsia="仿宋_GB2312" w:cs="仿宋_GB2312"/>
          <w:kern w:val="2"/>
          <w:sz w:val="32"/>
          <w:szCs w:val="32"/>
          <w:highlight w:val="none"/>
          <w:lang w:val="en-US" w:eastAsia="zh-CN" w:bidi="ar-SA"/>
        </w:rPr>
        <w:t>。受委托单位超越委托权限范围行使行政执法职权，或将受委托行政执法职权再次委托其他组织或个人行使，产生的法律后果由受委托单位自行承担。</w:t>
      </w:r>
    </w:p>
    <w:p w14:paraId="08B60235">
      <w:pPr>
        <w:keepNext w:val="0"/>
        <w:keepLines w:val="0"/>
        <w:pageBreakBefore w:val="0"/>
        <w:widowControl w:val="0"/>
        <w:tabs>
          <w:tab w:val="left" w:pos="8100"/>
          <w:tab w:val="left" w:pos="8460"/>
        </w:tabs>
        <w:kinsoku/>
        <w:wordWrap/>
        <w:overflowPunct/>
        <w:topLinePunct w:val="0"/>
        <w:bidi w:val="0"/>
        <w:snapToGrid/>
        <w:spacing w:line="560" w:lineRule="exact"/>
        <w:ind w:firstLine="640" w:firstLineChars="200"/>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rPr>
        <w:t>三、委托执法职责</w:t>
      </w:r>
    </w:p>
    <w:p w14:paraId="426CFFA4">
      <w:pPr>
        <w:keepNext w:val="0"/>
        <w:keepLines w:val="0"/>
        <w:pageBreakBefore w:val="0"/>
        <w:widowControl w:val="0"/>
        <w:tabs>
          <w:tab w:val="left" w:pos="8100"/>
          <w:tab w:val="left" w:pos="8460"/>
        </w:tabs>
        <w:kinsoku/>
        <w:wordWrap/>
        <w:overflowPunct/>
        <w:topLinePunct w:val="0"/>
        <w:bidi w:val="0"/>
        <w:snapToGrid/>
        <w:spacing w:line="56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（一）委托单位职责。</w:t>
      </w:r>
    </w:p>
    <w:p w14:paraId="45771D2F">
      <w:pPr>
        <w:keepNext w:val="0"/>
        <w:keepLines w:val="0"/>
        <w:pageBreakBefore w:val="0"/>
        <w:widowControl w:val="0"/>
        <w:tabs>
          <w:tab w:val="left" w:pos="8100"/>
          <w:tab w:val="left" w:pos="8460"/>
        </w:tabs>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1．指导和监督受委托单位在委托权限范围内以委托单位名义实施行政执法行为；</w:t>
      </w:r>
    </w:p>
    <w:p w14:paraId="3B311146">
      <w:pPr>
        <w:keepNext w:val="0"/>
        <w:keepLines w:val="0"/>
        <w:pageBreakBefore w:val="0"/>
        <w:widowControl w:val="0"/>
        <w:tabs>
          <w:tab w:val="left" w:pos="8100"/>
          <w:tab w:val="left" w:pos="8460"/>
        </w:tabs>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2．受委托单位因违法导致案件错误所产生的法律后果由委托单位承担，委托单位承担相应责任后，可以根据受委托人的过错责任大小，依法予以追偿；</w:t>
      </w:r>
    </w:p>
    <w:p w14:paraId="54F09975">
      <w:pPr>
        <w:keepNext w:val="0"/>
        <w:keepLines w:val="0"/>
        <w:pageBreakBefore w:val="0"/>
        <w:widowControl w:val="0"/>
        <w:tabs>
          <w:tab w:val="left" w:pos="8100"/>
          <w:tab w:val="left" w:pos="8460"/>
        </w:tabs>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3．对受委托单位违法或者不适当的行政执法行为予以纠正或者撤销；受委托单位违法实施行政执法行为造成严重后果的，委托单位可以解除委托执法协议；</w:t>
      </w:r>
    </w:p>
    <w:p w14:paraId="76DCC067">
      <w:pPr>
        <w:keepNext w:val="0"/>
        <w:keepLines w:val="0"/>
        <w:pageBreakBefore w:val="0"/>
        <w:widowControl w:val="0"/>
        <w:tabs>
          <w:tab w:val="left" w:pos="8100"/>
          <w:tab w:val="left" w:pos="8460"/>
        </w:tabs>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rPr>
        <w:t>4．委托单位应组织受委托单位执法人员开展执法资格及业务技能培训</w:t>
      </w:r>
      <w:r>
        <w:rPr>
          <w:rFonts w:hint="eastAsia" w:ascii="仿宋_GB2312" w:hAnsi="仿宋_GB2312" w:eastAsia="仿宋_GB2312" w:cs="仿宋_GB2312"/>
          <w:sz w:val="32"/>
          <w:szCs w:val="32"/>
          <w:highlight w:val="none"/>
        </w:rPr>
        <w:t>；</w:t>
      </w:r>
    </w:p>
    <w:p w14:paraId="1CE41338">
      <w:pPr>
        <w:keepNext w:val="0"/>
        <w:keepLines w:val="0"/>
        <w:pageBreakBefore w:val="0"/>
        <w:widowControl w:val="0"/>
        <w:tabs>
          <w:tab w:val="left" w:pos="8100"/>
          <w:tab w:val="left" w:pos="8460"/>
        </w:tabs>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5．委托单位为受委托单位提供相关资料及规范的行政执法文书、表格；</w:t>
      </w:r>
    </w:p>
    <w:p w14:paraId="3D94F14D">
      <w:pPr>
        <w:keepNext w:val="0"/>
        <w:keepLines w:val="0"/>
        <w:pageBreakBefore w:val="0"/>
        <w:widowControl w:val="0"/>
        <w:tabs>
          <w:tab w:val="left" w:pos="8100"/>
          <w:tab w:val="left" w:pos="8460"/>
        </w:tabs>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lang w:val="en-US" w:eastAsia="zh-CN"/>
        </w:rPr>
        <w:t>委托方仍有权在法定职责内开展执法活动</w:t>
      </w:r>
      <w:r>
        <w:rPr>
          <w:rFonts w:hint="eastAsia" w:ascii="仿宋_GB2312" w:hAnsi="仿宋_GB2312" w:eastAsia="仿宋_GB2312" w:cs="仿宋_GB2312"/>
          <w:sz w:val="32"/>
          <w:szCs w:val="32"/>
        </w:rPr>
        <w:t>。</w:t>
      </w:r>
    </w:p>
    <w:p w14:paraId="625A9B10">
      <w:pPr>
        <w:keepNext w:val="0"/>
        <w:keepLines w:val="0"/>
        <w:pageBreakBefore w:val="0"/>
        <w:widowControl w:val="0"/>
        <w:tabs>
          <w:tab w:val="left" w:pos="8100"/>
          <w:tab w:val="left" w:pos="8460"/>
        </w:tabs>
        <w:kinsoku/>
        <w:wordWrap/>
        <w:overflowPunct/>
        <w:topLinePunct w:val="0"/>
        <w:bidi w:val="0"/>
        <w:snapToGrid/>
        <w:spacing w:line="56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（二）受委托单位职责。</w:t>
      </w:r>
    </w:p>
    <w:p w14:paraId="51EF2571">
      <w:pPr>
        <w:keepNext w:val="0"/>
        <w:keepLines w:val="0"/>
        <w:pageBreakBefore w:val="0"/>
        <w:widowControl w:val="0"/>
        <w:tabs>
          <w:tab w:val="left" w:pos="8100"/>
          <w:tab w:val="left" w:pos="8460"/>
        </w:tabs>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1．受委托单位只能在委托权限范围内实施行政执法行为；</w:t>
      </w:r>
    </w:p>
    <w:p w14:paraId="0A9B3C3D">
      <w:pPr>
        <w:keepNext w:val="0"/>
        <w:keepLines w:val="0"/>
        <w:pageBreakBefore w:val="0"/>
        <w:widowControl w:val="0"/>
        <w:tabs>
          <w:tab w:val="left" w:pos="8100"/>
          <w:tab w:val="left" w:pos="8460"/>
        </w:tabs>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2．受委托单位在履行行政执法行为时，必须出示有效的行政执法证件，并按法定程序实施行政执法行为；</w:t>
      </w:r>
    </w:p>
    <w:p w14:paraId="1E6E0EB8">
      <w:pPr>
        <w:keepNext w:val="0"/>
        <w:keepLines w:val="0"/>
        <w:pageBreakBefore w:val="0"/>
        <w:widowControl w:val="0"/>
        <w:tabs>
          <w:tab w:val="left" w:pos="8100"/>
          <w:tab w:val="left" w:pos="8460"/>
        </w:tabs>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3．受委托单位不得再委托其他任何组织或者个人实施委托单位委托的行政执法行为；</w:t>
      </w:r>
    </w:p>
    <w:p w14:paraId="367C0405">
      <w:pPr>
        <w:keepNext w:val="0"/>
        <w:keepLines w:val="0"/>
        <w:pageBreakBefore w:val="0"/>
        <w:widowControl w:val="0"/>
        <w:tabs>
          <w:tab w:val="left" w:pos="8100"/>
          <w:tab w:val="left" w:pos="8460"/>
        </w:tabs>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4．主动接受委托单位的指导和监督，参与和配合委托单位的行政执法工作；</w:t>
      </w:r>
    </w:p>
    <w:p w14:paraId="63DF1154">
      <w:pPr>
        <w:keepNext w:val="0"/>
        <w:keepLines w:val="0"/>
        <w:pageBreakBefore w:val="0"/>
        <w:widowControl w:val="0"/>
        <w:tabs>
          <w:tab w:val="left" w:pos="8100"/>
          <w:tab w:val="left" w:pos="8460"/>
        </w:tabs>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5．严格按照委托执法的有关规定，以委托单位的名义制作行政执法文书；</w:t>
      </w:r>
    </w:p>
    <w:p w14:paraId="14849BFA">
      <w:pPr>
        <w:keepNext w:val="0"/>
        <w:keepLines w:val="0"/>
        <w:pageBreakBefore w:val="0"/>
        <w:widowControl w:val="0"/>
        <w:tabs>
          <w:tab w:val="left" w:pos="8100"/>
          <w:tab w:val="left" w:pos="8460"/>
        </w:tabs>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6．建立相关的监督检查实施办法和行政执法相关制度；</w:t>
      </w:r>
    </w:p>
    <w:p w14:paraId="5037682C">
      <w:pPr>
        <w:keepNext w:val="0"/>
        <w:keepLines w:val="0"/>
        <w:pageBreakBefore w:val="0"/>
        <w:widowControl w:val="0"/>
        <w:tabs>
          <w:tab w:val="left" w:pos="8100"/>
          <w:tab w:val="left" w:pos="8460"/>
        </w:tabs>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7．每月</w:t>
      </w:r>
      <w:r>
        <w:rPr>
          <w:rFonts w:hint="eastAsia" w:ascii="仿宋_GB2312" w:hAnsi="仿宋_GB2312" w:eastAsia="仿宋_GB2312" w:cs="仿宋_GB2312"/>
          <w:sz w:val="32"/>
          <w:szCs w:val="32"/>
          <w:highlight w:val="none"/>
          <w:lang w:val="en-US" w:eastAsia="zh-CN"/>
        </w:rPr>
        <w:t>25日</w:t>
      </w:r>
      <w:r>
        <w:rPr>
          <w:rFonts w:hint="eastAsia" w:ascii="仿宋_GB2312" w:hAnsi="仿宋_GB2312" w:eastAsia="仿宋_GB2312" w:cs="仿宋_GB2312"/>
          <w:sz w:val="32"/>
          <w:szCs w:val="32"/>
          <w:highlight w:val="none"/>
        </w:rPr>
        <w:t>前按要求向委托单位报送委托行政执法报表，定期汇报执法情况，不得虚报、瞒报、拒报、迟报；</w:t>
      </w:r>
    </w:p>
    <w:p w14:paraId="51DAD269">
      <w:pPr>
        <w:keepNext w:val="0"/>
        <w:keepLines w:val="0"/>
        <w:pageBreakBefore w:val="0"/>
        <w:widowControl w:val="0"/>
        <w:tabs>
          <w:tab w:val="left" w:pos="8100"/>
          <w:tab w:val="left" w:pos="8460"/>
        </w:tabs>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8．及时向委托单位书面报告在委托行政执法过程中存在的问题；</w:t>
      </w:r>
    </w:p>
    <w:p w14:paraId="600DF721">
      <w:pPr>
        <w:pStyle w:val="8"/>
        <w:keepNext w:val="0"/>
        <w:keepLines w:val="0"/>
        <w:pageBreakBefore w:val="0"/>
        <w:kinsoku/>
        <w:wordWrap/>
        <w:overflowPunct/>
        <w:topLinePunct w:val="0"/>
        <w:bidi w:val="0"/>
        <w:snapToGrid/>
        <w:spacing w:line="560" w:lineRule="exact"/>
        <w:ind w:firstLine="640"/>
        <w:jc w:val="both"/>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sz w:val="32"/>
          <w:szCs w:val="32"/>
          <w:highlight w:val="none"/>
        </w:rPr>
        <w:t>9．</w:t>
      </w:r>
      <w:r>
        <w:rPr>
          <w:rFonts w:ascii="仿宋_GB2312" w:eastAsia="仿宋_GB2312"/>
          <w:color w:val="000000" w:themeColor="text1"/>
          <w:sz w:val="32"/>
          <w:szCs w:val="32"/>
          <w:highlight w:val="none"/>
          <w14:textFill>
            <w14:solidFill>
              <w14:schemeClr w14:val="tx1"/>
            </w14:solidFill>
          </w14:textFill>
        </w:rPr>
        <w:t>受委托单位实施受委托行政处罚事项作出的执法决定信息，要在决定作出之日起7个工作日内，由委托单位负责在广东省行政执法信息公示平台</w:t>
      </w:r>
      <w:r>
        <w:rPr>
          <w:rFonts w:hint="eastAsia" w:ascii="仿宋_GB2312" w:eastAsia="仿宋_GB2312"/>
          <w:color w:val="000000" w:themeColor="text1"/>
          <w:sz w:val="32"/>
          <w:szCs w:val="32"/>
          <w:highlight w:val="none"/>
          <w:lang w:val="en-US" w:eastAsia="zh-CN"/>
          <w14:textFill>
            <w14:solidFill>
              <w14:schemeClr w14:val="tx1"/>
            </w14:solidFill>
          </w14:textFill>
        </w:rPr>
        <w:t>和江门市公共信用信息管理系统</w:t>
      </w:r>
      <w:r>
        <w:rPr>
          <w:rFonts w:ascii="仿宋_GB2312" w:eastAsia="仿宋_GB2312"/>
          <w:color w:val="000000" w:themeColor="text1"/>
          <w:sz w:val="32"/>
          <w:szCs w:val="32"/>
          <w:highlight w:val="none"/>
          <w14:textFill>
            <w14:solidFill>
              <w14:schemeClr w14:val="tx1"/>
            </w14:solidFill>
          </w14:textFill>
        </w:rPr>
        <w:t>录入结果信息并进行公开</w:t>
      </w:r>
      <w:r>
        <w:rPr>
          <w:rFonts w:hint="eastAsia" w:ascii="仿宋_GB2312" w:eastAsia="仿宋_GB2312"/>
          <w:color w:val="000000" w:themeColor="text1"/>
          <w:sz w:val="32"/>
          <w:szCs w:val="32"/>
          <w:highlight w:val="none"/>
          <w14:textFill>
            <w14:solidFill>
              <w14:schemeClr w14:val="tx1"/>
            </w14:solidFill>
          </w14:textFill>
        </w:rPr>
        <w:t>。</w:t>
      </w:r>
    </w:p>
    <w:p w14:paraId="524DD416">
      <w:pPr>
        <w:keepNext w:val="0"/>
        <w:keepLines w:val="0"/>
        <w:pageBreakBefore w:val="0"/>
        <w:widowControl w:val="0"/>
        <w:tabs>
          <w:tab w:val="left" w:pos="8100"/>
          <w:tab w:val="left" w:pos="8460"/>
        </w:tabs>
        <w:kinsoku/>
        <w:wordWrap/>
        <w:overflowPunct/>
        <w:topLinePunct w:val="0"/>
        <w:bidi w:val="0"/>
        <w:snapToGrid/>
        <w:spacing w:line="560" w:lineRule="exact"/>
        <w:ind w:firstLine="640" w:firstLineChars="200"/>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rPr>
        <w:t>四、委托期限</w:t>
      </w:r>
    </w:p>
    <w:p w14:paraId="5F363803">
      <w:pPr>
        <w:keepNext w:val="0"/>
        <w:keepLines w:val="0"/>
        <w:pageBreakBefore w:val="0"/>
        <w:widowControl w:val="0"/>
        <w:tabs>
          <w:tab w:val="left" w:pos="8100"/>
          <w:tab w:val="left" w:pos="8460"/>
        </w:tabs>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从</w:t>
      </w:r>
      <w:r>
        <w:rPr>
          <w:rFonts w:hint="eastAsia" w:ascii="仿宋_GB2312" w:hAnsi="仿宋_GB2312" w:eastAsia="仿宋_GB2312" w:cs="仿宋_GB2312"/>
          <w:sz w:val="32"/>
          <w:szCs w:val="32"/>
          <w:highlight w:val="none"/>
          <w:lang w:val="en-US" w:eastAsia="zh-CN"/>
        </w:rPr>
        <w:t>2024</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日至</w:t>
      </w:r>
      <w:r>
        <w:rPr>
          <w:rFonts w:hint="eastAsia" w:ascii="仿宋_GB2312" w:hAnsi="仿宋_GB2312" w:eastAsia="仿宋_GB2312" w:cs="仿宋_GB2312"/>
          <w:sz w:val="32"/>
          <w:szCs w:val="32"/>
          <w:highlight w:val="none"/>
          <w:lang w:val="en-US" w:eastAsia="zh-CN"/>
        </w:rPr>
        <w:t>2025</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31</w:t>
      </w:r>
      <w:r>
        <w:rPr>
          <w:rFonts w:hint="eastAsia" w:ascii="仿宋_GB2312" w:hAnsi="仿宋_GB2312" w:eastAsia="仿宋_GB2312" w:cs="仿宋_GB2312"/>
          <w:sz w:val="32"/>
          <w:szCs w:val="32"/>
          <w:highlight w:val="none"/>
        </w:rPr>
        <w:t>日止。本委托书经双方法定代表人或者委托代理人签字或者加盖单位公章之日起生效。到期之后由委托单位进行审核，经审核符合条件的重新签订委托书；经审核不符合条件的取消委托。</w:t>
      </w:r>
    </w:p>
    <w:p w14:paraId="4B9B759D">
      <w:pPr>
        <w:keepNext w:val="0"/>
        <w:keepLines w:val="0"/>
        <w:pageBreakBefore w:val="0"/>
        <w:widowControl w:val="0"/>
        <w:tabs>
          <w:tab w:val="left" w:pos="8100"/>
          <w:tab w:val="left" w:pos="8460"/>
        </w:tabs>
        <w:kinsoku/>
        <w:wordWrap/>
        <w:overflowPunct/>
        <w:topLinePunct w:val="0"/>
        <w:bidi w:val="0"/>
        <w:snapToGrid/>
        <w:spacing w:line="560" w:lineRule="exact"/>
        <w:ind w:firstLine="640" w:firstLineChars="200"/>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rPr>
        <w:t>五、</w:t>
      </w:r>
      <w:r>
        <w:rPr>
          <w:rFonts w:hint="eastAsia" w:ascii="黑体" w:hAnsi="黑体" w:eastAsia="黑体" w:cs="黑体"/>
          <w:sz w:val="32"/>
          <w:szCs w:val="32"/>
          <w:highlight w:val="none"/>
          <w:lang w:val="en-US" w:eastAsia="zh-CN"/>
        </w:rPr>
        <w:t>本委托协议自双方签订之日起生效。</w:t>
      </w:r>
      <w:r>
        <w:rPr>
          <w:rFonts w:hint="eastAsia" w:ascii="黑体" w:hAnsi="黑体" w:eastAsia="黑体" w:cs="黑体"/>
          <w:sz w:val="32"/>
          <w:szCs w:val="32"/>
          <w:highlight w:val="none"/>
        </w:rPr>
        <w:t>本委托书一式</w:t>
      </w:r>
      <w:r>
        <w:rPr>
          <w:rFonts w:hint="eastAsia" w:ascii="黑体" w:hAnsi="黑体" w:eastAsia="黑体" w:cs="黑体"/>
          <w:sz w:val="32"/>
          <w:szCs w:val="32"/>
          <w:highlight w:val="none"/>
          <w:lang w:val="en-US" w:eastAsia="zh-CN"/>
        </w:rPr>
        <w:t>贰</w:t>
      </w:r>
      <w:r>
        <w:rPr>
          <w:rFonts w:hint="eastAsia" w:ascii="黑体" w:hAnsi="黑体" w:eastAsia="黑体" w:cs="黑体"/>
          <w:sz w:val="32"/>
          <w:szCs w:val="32"/>
          <w:highlight w:val="none"/>
        </w:rPr>
        <w:t>份，委托单位和受委托单位各执一份。</w:t>
      </w:r>
    </w:p>
    <w:p w14:paraId="43187DAB">
      <w:pPr>
        <w:pStyle w:val="2"/>
        <w:rPr>
          <w:rFonts w:hint="eastAsia" w:ascii="仿宋_GB2312" w:hAnsi="仿宋_GB2312" w:eastAsia="仿宋_GB2312" w:cs="仿宋_GB2312"/>
          <w:sz w:val="32"/>
          <w:szCs w:val="32"/>
          <w:highlight w:val="none"/>
        </w:rPr>
      </w:pPr>
    </w:p>
    <w:p w14:paraId="2EBABE06">
      <w:pPr>
        <w:keepNext w:val="0"/>
        <w:keepLines w:val="0"/>
        <w:pageBreakBefore w:val="0"/>
        <w:widowControl w:val="0"/>
        <w:tabs>
          <w:tab w:val="left" w:pos="8100"/>
          <w:tab w:val="left" w:pos="8460"/>
        </w:tabs>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委托单位（盖章）                   受委托单位（盖章）</w:t>
      </w:r>
    </w:p>
    <w:p w14:paraId="04C8477C">
      <w:pPr>
        <w:keepNext w:val="0"/>
        <w:keepLines w:val="0"/>
        <w:pageBreakBefore w:val="0"/>
        <w:widowControl w:val="0"/>
        <w:tabs>
          <w:tab w:val="left" w:pos="8100"/>
          <w:tab w:val="left" w:pos="8460"/>
        </w:tabs>
        <w:kinsoku/>
        <w:wordWrap/>
        <w:overflowPunct/>
        <w:topLinePunct w:val="0"/>
        <w:bidi w:val="0"/>
        <w:snapToGrid/>
        <w:spacing w:line="560" w:lineRule="exact"/>
        <w:textAlignment w:val="auto"/>
        <w:rPr>
          <w:rFonts w:hint="eastAsia" w:ascii="仿宋_GB2312" w:hAnsi="仿宋_GB2312" w:eastAsia="仿宋_GB2312" w:cs="仿宋_GB2312"/>
          <w:sz w:val="32"/>
          <w:szCs w:val="32"/>
          <w:highlight w:val="none"/>
        </w:rPr>
      </w:pPr>
    </w:p>
    <w:p w14:paraId="6C77B39C">
      <w:pPr>
        <w:keepNext w:val="0"/>
        <w:keepLines w:val="0"/>
        <w:pageBreakBefore w:val="0"/>
        <w:widowControl w:val="0"/>
        <w:tabs>
          <w:tab w:val="left" w:pos="8100"/>
          <w:tab w:val="left" w:pos="8460"/>
        </w:tabs>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法定代表人（签名）：               法定代表人（签名）：</w:t>
      </w:r>
    </w:p>
    <w:p w14:paraId="1C462118">
      <w:pPr>
        <w:keepNext w:val="0"/>
        <w:keepLines w:val="0"/>
        <w:pageBreakBefore w:val="0"/>
        <w:widowControl w:val="0"/>
        <w:tabs>
          <w:tab w:val="left" w:pos="8100"/>
          <w:tab w:val="left" w:pos="8460"/>
        </w:tabs>
        <w:kinsoku/>
        <w:wordWrap/>
        <w:overflowPunct/>
        <w:topLinePunct w:val="0"/>
        <w:bidi w:val="0"/>
        <w:snapToGrid/>
        <w:spacing w:line="560" w:lineRule="exact"/>
        <w:ind w:firstLine="960" w:firstLineChars="3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lang w:val="en-US" w:eastAsia="zh-CN"/>
        </w:rPr>
        <w:t>2024</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20</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sz w:val="32"/>
          <w:szCs w:val="32"/>
          <w:highlight w:val="none"/>
          <w:lang w:val="en-US" w:eastAsia="zh-CN"/>
        </w:rPr>
        <w:t xml:space="preserve">                2024 </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日</w:t>
      </w:r>
    </w:p>
    <w:p w14:paraId="7D60940D">
      <w:pPr>
        <w:bidi w:val="0"/>
        <w:rPr>
          <w:rFonts w:hint="eastAsia" w:ascii="Times New Roman" w:hAnsi="Times New Roman" w:eastAsia="宋体" w:cs="Times New Roman"/>
          <w:kern w:val="2"/>
          <w:sz w:val="21"/>
          <w:szCs w:val="22"/>
          <w:lang w:val="en-US" w:eastAsia="zh-CN" w:bidi="ar-SA"/>
        </w:rPr>
      </w:pPr>
    </w:p>
    <w:p w14:paraId="07118EB8">
      <w:pPr>
        <w:bidi w:val="0"/>
        <w:rPr>
          <w:rFonts w:hint="eastAsia"/>
          <w:lang w:val="en-US" w:eastAsia="zh-CN"/>
        </w:rPr>
      </w:pPr>
    </w:p>
    <w:p w14:paraId="78EF560D">
      <w:pPr>
        <w:bidi w:val="0"/>
        <w:rPr>
          <w:rFonts w:hint="eastAsia"/>
          <w:lang w:val="en-US" w:eastAsia="zh-CN"/>
        </w:rPr>
      </w:pPr>
    </w:p>
    <w:p w14:paraId="1BD54552">
      <w:pPr>
        <w:bidi w:val="0"/>
        <w:rPr>
          <w:rFonts w:hint="eastAsia"/>
          <w:lang w:val="en-US" w:eastAsia="zh-CN"/>
        </w:rPr>
      </w:pPr>
    </w:p>
    <w:p w14:paraId="4BE96C0F">
      <w:pPr>
        <w:bidi w:val="0"/>
        <w:rPr>
          <w:rFonts w:hint="eastAsia"/>
          <w:lang w:val="en-US" w:eastAsia="zh-CN"/>
        </w:rPr>
      </w:pPr>
    </w:p>
    <w:p w14:paraId="45848416">
      <w:pPr>
        <w:bidi w:val="0"/>
        <w:rPr>
          <w:rFonts w:hint="eastAsia"/>
          <w:lang w:val="en-US" w:eastAsia="zh-CN"/>
        </w:rPr>
      </w:pPr>
    </w:p>
    <w:p w14:paraId="67B4FFF0">
      <w:pPr>
        <w:bidi w:val="0"/>
        <w:rPr>
          <w:rFonts w:hint="eastAsia"/>
          <w:lang w:val="en-US" w:eastAsia="zh-CN"/>
        </w:rPr>
      </w:pPr>
    </w:p>
    <w:p w14:paraId="2174B5EC">
      <w:pPr>
        <w:bidi w:val="0"/>
        <w:rPr>
          <w:rFonts w:hint="eastAsia"/>
          <w:lang w:val="en-US" w:eastAsia="zh-CN"/>
        </w:rPr>
      </w:pPr>
    </w:p>
    <w:p w14:paraId="690DA61E">
      <w:pPr>
        <w:bidi w:val="0"/>
        <w:rPr>
          <w:rFonts w:hint="eastAsia"/>
          <w:lang w:val="en-US" w:eastAsia="zh-CN"/>
        </w:rPr>
      </w:pPr>
    </w:p>
    <w:p w14:paraId="0D735931">
      <w:pPr>
        <w:bidi w:val="0"/>
        <w:rPr>
          <w:rFonts w:hint="eastAsia"/>
          <w:lang w:val="en-US" w:eastAsia="zh-CN"/>
        </w:rPr>
      </w:pPr>
    </w:p>
    <w:p w14:paraId="2288DD45">
      <w:pPr>
        <w:bidi w:val="0"/>
        <w:rPr>
          <w:rFonts w:hint="eastAsia"/>
          <w:lang w:val="en-US" w:eastAsia="zh-CN"/>
        </w:rPr>
      </w:pPr>
    </w:p>
    <w:p w14:paraId="26B959F6">
      <w:pPr>
        <w:pStyle w:val="2"/>
        <w:rPr>
          <w:rFonts w:hint="eastAsia"/>
          <w:lang w:val="en-US" w:eastAsia="zh-CN"/>
        </w:rPr>
      </w:pPr>
    </w:p>
    <w:p w14:paraId="1924C5CB">
      <w:pPr>
        <w:bidi w:val="0"/>
        <w:rPr>
          <w:rFonts w:hint="eastAsia"/>
          <w:lang w:val="en-US" w:eastAsia="zh-CN"/>
        </w:rPr>
      </w:pPr>
    </w:p>
    <w:p w14:paraId="5F54E87C">
      <w:pPr>
        <w:tabs>
          <w:tab w:val="left" w:pos="5147"/>
        </w:tabs>
        <w:bidi w:val="0"/>
        <w:jc w:val="left"/>
        <w:rPr>
          <w:rFonts w:hint="eastAsia"/>
          <w:lang w:val="en-US" w:eastAsia="zh-CN"/>
        </w:rPr>
      </w:pPr>
    </w:p>
    <w:p w14:paraId="3294CCF2">
      <w:pPr>
        <w:widowControl/>
        <w:tabs>
          <w:tab w:val="center" w:pos="4482"/>
        </w:tabs>
        <w:spacing w:after="200" w:line="560" w:lineRule="exact"/>
        <w:jc w:val="center"/>
        <w:rPr>
          <w:rFonts w:ascii="方正小标宋_GBK" w:hAnsi="方正小标宋_GBK" w:eastAsia="方正小标宋_GBK" w:cs="方正小标宋_GBK"/>
          <w:color w:val="000000"/>
          <w:sz w:val="44"/>
          <w:szCs w:val="32"/>
        </w:rPr>
      </w:pPr>
      <w:r>
        <w:rPr>
          <w:rFonts w:hint="eastAsia" w:ascii="方正小标宋_GBK" w:hAnsi="方正小标宋_GBK" w:eastAsia="方正小标宋_GBK" w:cs="方正小标宋_GBK"/>
          <w:color w:val="000000"/>
          <w:sz w:val="44"/>
          <w:szCs w:val="32"/>
        </w:rPr>
        <w:t>委托行使的消防行政处罚权限</w:t>
      </w:r>
    </w:p>
    <w:tbl>
      <w:tblPr>
        <w:tblStyle w:val="22"/>
        <w:tblW w:w="9808" w:type="dxa"/>
        <w:jc w:val="center"/>
        <w:tblLayout w:type="fixed"/>
        <w:tblCellMar>
          <w:top w:w="0" w:type="dxa"/>
          <w:left w:w="0" w:type="dxa"/>
          <w:bottom w:w="0" w:type="dxa"/>
          <w:right w:w="0" w:type="dxa"/>
        </w:tblCellMar>
      </w:tblPr>
      <w:tblGrid>
        <w:gridCol w:w="577"/>
        <w:gridCol w:w="1042"/>
        <w:gridCol w:w="1498"/>
        <w:gridCol w:w="3267"/>
        <w:gridCol w:w="3424"/>
      </w:tblGrid>
      <w:tr w14:paraId="0FE22C5B">
        <w:tblPrEx>
          <w:tblCellMar>
            <w:top w:w="0" w:type="dxa"/>
            <w:left w:w="0" w:type="dxa"/>
            <w:bottom w:w="0" w:type="dxa"/>
            <w:right w:w="0" w:type="dxa"/>
          </w:tblCellMar>
        </w:tblPrEx>
        <w:trPr>
          <w:trHeight w:val="570" w:hRule="atLeast"/>
          <w:tblHeader/>
          <w:jc w:val="center"/>
        </w:trPr>
        <w:tc>
          <w:tcPr>
            <w:tcW w:w="577" w:type="dxa"/>
            <w:tcBorders>
              <w:top w:val="single" w:color="auto" w:sz="8" w:space="0"/>
              <w:left w:val="single" w:color="auto" w:sz="8" w:space="0"/>
              <w:bottom w:val="single" w:color="auto" w:sz="8" w:space="0"/>
              <w:right w:val="single" w:color="auto" w:sz="8" w:space="0"/>
            </w:tcBorders>
            <w:noWrap/>
            <w:tcMar>
              <w:top w:w="0" w:type="dxa"/>
              <w:left w:w="17" w:type="dxa"/>
              <w:bottom w:w="0" w:type="dxa"/>
              <w:right w:w="17" w:type="dxa"/>
            </w:tcMar>
            <w:vAlign w:val="center"/>
          </w:tcPr>
          <w:p w14:paraId="500F3D59">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委托</w:t>
            </w:r>
          </w:p>
          <w:p w14:paraId="4E10585C">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项目</w:t>
            </w:r>
          </w:p>
        </w:tc>
        <w:tc>
          <w:tcPr>
            <w:tcW w:w="1042" w:type="dxa"/>
            <w:tcBorders>
              <w:top w:val="single" w:color="auto" w:sz="8" w:space="0"/>
              <w:left w:val="nil"/>
              <w:bottom w:val="single" w:color="auto" w:sz="8" w:space="0"/>
              <w:right w:val="single" w:color="auto" w:sz="8" w:space="0"/>
            </w:tcBorders>
            <w:tcMar>
              <w:top w:w="0" w:type="dxa"/>
              <w:left w:w="17" w:type="dxa"/>
              <w:bottom w:w="0" w:type="dxa"/>
              <w:right w:w="17" w:type="dxa"/>
            </w:tcMar>
            <w:vAlign w:val="center"/>
          </w:tcPr>
          <w:p w14:paraId="2FC7FF56">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委托</w:t>
            </w:r>
          </w:p>
          <w:p w14:paraId="217A4687">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单位</w:t>
            </w:r>
          </w:p>
        </w:tc>
        <w:tc>
          <w:tcPr>
            <w:tcW w:w="1498" w:type="dxa"/>
            <w:tcBorders>
              <w:top w:val="single" w:color="auto" w:sz="8" w:space="0"/>
              <w:left w:val="nil"/>
              <w:bottom w:val="single" w:color="auto" w:sz="8" w:space="0"/>
              <w:right w:val="single" w:color="auto" w:sz="8" w:space="0"/>
            </w:tcBorders>
            <w:tcMar>
              <w:top w:w="0" w:type="dxa"/>
              <w:left w:w="17" w:type="dxa"/>
              <w:bottom w:w="0" w:type="dxa"/>
              <w:right w:w="17" w:type="dxa"/>
            </w:tcMar>
            <w:vAlign w:val="center"/>
          </w:tcPr>
          <w:p w14:paraId="0C99D2BB">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受委托</w:t>
            </w:r>
          </w:p>
          <w:p w14:paraId="2D27B26A">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单位</w:t>
            </w:r>
          </w:p>
        </w:tc>
        <w:tc>
          <w:tcPr>
            <w:tcW w:w="3267" w:type="dxa"/>
            <w:tcBorders>
              <w:top w:val="single" w:color="auto" w:sz="8" w:space="0"/>
              <w:left w:val="nil"/>
              <w:bottom w:val="single" w:color="auto" w:sz="8" w:space="0"/>
              <w:right w:val="single" w:color="auto" w:sz="8" w:space="0"/>
            </w:tcBorders>
            <w:noWrap/>
            <w:tcMar>
              <w:top w:w="0" w:type="dxa"/>
              <w:left w:w="17" w:type="dxa"/>
              <w:bottom w:w="0" w:type="dxa"/>
              <w:right w:w="17" w:type="dxa"/>
            </w:tcMar>
            <w:vAlign w:val="center"/>
          </w:tcPr>
          <w:p w14:paraId="37556E70">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行政执法法定事项及权限</w:t>
            </w:r>
          </w:p>
        </w:tc>
        <w:tc>
          <w:tcPr>
            <w:tcW w:w="3424" w:type="dxa"/>
            <w:tcBorders>
              <w:top w:val="single" w:color="auto" w:sz="8" w:space="0"/>
              <w:left w:val="nil"/>
              <w:bottom w:val="single" w:color="auto" w:sz="8" w:space="0"/>
              <w:right w:val="single" w:color="auto" w:sz="8" w:space="0"/>
            </w:tcBorders>
            <w:noWrap/>
            <w:tcMar>
              <w:top w:w="0" w:type="dxa"/>
              <w:left w:w="17" w:type="dxa"/>
              <w:bottom w:w="0" w:type="dxa"/>
              <w:right w:w="17" w:type="dxa"/>
            </w:tcMar>
            <w:vAlign w:val="center"/>
          </w:tcPr>
          <w:p w14:paraId="53242C3E">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委托权限</w:t>
            </w:r>
          </w:p>
        </w:tc>
      </w:tr>
      <w:tr w14:paraId="5388F139">
        <w:tblPrEx>
          <w:tblCellMar>
            <w:top w:w="0" w:type="dxa"/>
            <w:left w:w="0" w:type="dxa"/>
            <w:bottom w:w="0" w:type="dxa"/>
            <w:right w:w="0" w:type="dxa"/>
          </w:tblCellMar>
        </w:tblPrEx>
        <w:trPr>
          <w:trHeight w:val="750" w:hRule="atLeast"/>
          <w:jc w:val="center"/>
        </w:trPr>
        <w:tc>
          <w:tcPr>
            <w:tcW w:w="577" w:type="dxa"/>
            <w:tcBorders>
              <w:top w:val="nil"/>
              <w:left w:val="single" w:color="auto" w:sz="8" w:space="0"/>
              <w:bottom w:val="single" w:color="auto" w:sz="8" w:space="0"/>
              <w:right w:val="single" w:color="auto" w:sz="8" w:space="0"/>
            </w:tcBorders>
            <w:tcMar>
              <w:top w:w="17" w:type="dxa"/>
              <w:left w:w="17" w:type="dxa"/>
              <w:bottom w:w="17" w:type="dxa"/>
              <w:right w:w="17" w:type="dxa"/>
            </w:tcMar>
            <w:vAlign w:val="center"/>
          </w:tcPr>
          <w:p w14:paraId="442B4032">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消防监督管理行政处罚</w:t>
            </w:r>
          </w:p>
        </w:tc>
        <w:tc>
          <w:tcPr>
            <w:tcW w:w="1042" w:type="dxa"/>
            <w:tcBorders>
              <w:top w:val="nil"/>
              <w:left w:val="nil"/>
              <w:bottom w:val="single" w:color="auto" w:sz="8" w:space="0"/>
              <w:right w:val="single" w:color="auto" w:sz="8" w:space="0"/>
            </w:tcBorders>
            <w:tcMar>
              <w:top w:w="17" w:type="dxa"/>
              <w:left w:w="17" w:type="dxa"/>
              <w:bottom w:w="17" w:type="dxa"/>
              <w:right w:w="17" w:type="dxa"/>
            </w:tcMar>
            <w:vAlign w:val="center"/>
          </w:tcPr>
          <w:p w14:paraId="41010760">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区消防救援大队</w:t>
            </w:r>
          </w:p>
        </w:tc>
        <w:tc>
          <w:tcPr>
            <w:tcW w:w="1498" w:type="dxa"/>
            <w:tcBorders>
              <w:top w:val="nil"/>
              <w:left w:val="nil"/>
              <w:bottom w:val="single" w:color="auto" w:sz="8" w:space="0"/>
              <w:right w:val="single" w:color="auto" w:sz="8" w:space="0"/>
            </w:tcBorders>
            <w:tcMar>
              <w:top w:w="17" w:type="dxa"/>
              <w:left w:w="17" w:type="dxa"/>
              <w:bottom w:w="17" w:type="dxa"/>
              <w:right w:w="17" w:type="dxa"/>
            </w:tcMar>
            <w:vAlign w:val="center"/>
          </w:tcPr>
          <w:p w14:paraId="45568080">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杜阮镇人民政府</w:t>
            </w:r>
          </w:p>
        </w:tc>
        <w:tc>
          <w:tcPr>
            <w:tcW w:w="3267" w:type="dxa"/>
            <w:tcBorders>
              <w:top w:val="nil"/>
              <w:left w:val="nil"/>
              <w:bottom w:val="single" w:color="auto" w:sz="8" w:space="0"/>
              <w:right w:val="single" w:color="auto" w:sz="8" w:space="0"/>
            </w:tcBorders>
            <w:tcMar>
              <w:top w:w="17" w:type="dxa"/>
              <w:left w:w="17" w:type="dxa"/>
              <w:bottom w:w="17" w:type="dxa"/>
              <w:right w:w="17" w:type="dxa"/>
            </w:tcMar>
            <w:vAlign w:val="center"/>
          </w:tcPr>
          <w:p w14:paraId="1C87507A">
            <w:pPr>
              <w:widowControl/>
              <w:spacing w:line="260" w:lineRule="exact"/>
              <w:ind w:firstLine="472"/>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一、《中华人民共和国消防法》第六十条：单位违反本法规定，有下列行为之一的，责令改正，处五千元以上五万元以下罚款：</w:t>
            </w:r>
          </w:p>
          <w:p w14:paraId="316B57DF">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（一）消防设施、器材或者消防安全标志的配置、设置不符合国家标准、行业标准，或者未保持完好有效的；</w:t>
            </w:r>
          </w:p>
          <w:p w14:paraId="32FE2498">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（二）损坏、挪用或者擅自拆除、停用消防设施、器材的；</w:t>
            </w:r>
          </w:p>
          <w:p w14:paraId="2A07881D">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（三）占用、堵塞、封闭疏散通道、安全出口或者有其他妨碍安全疏散行为的；</w:t>
            </w:r>
          </w:p>
          <w:p w14:paraId="3AAD025E">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（四）埋压、圈占、遮挡消火栓或者占用防火间距的；</w:t>
            </w:r>
          </w:p>
          <w:p w14:paraId="7E1D4243">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（五）占用、堵塞、封闭消防车通道，妨碍消防车通行的；</w:t>
            </w:r>
          </w:p>
          <w:p w14:paraId="690A1F67">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（六）人员密集场所在门窗上设置影响逃生和灭火救援的障碍物的；</w:t>
            </w:r>
          </w:p>
          <w:p w14:paraId="05627177">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（七）对火灾隐患经消防救援机构通知后不及时采取措施消除的。</w:t>
            </w:r>
          </w:p>
          <w:p w14:paraId="5ABDC398">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个人有前款第二项、第三项、第四项、第五项行为之一的，处警告或者五百元以下罚款。</w:t>
            </w:r>
          </w:p>
        </w:tc>
        <w:tc>
          <w:tcPr>
            <w:tcW w:w="3424" w:type="dxa"/>
            <w:tcBorders>
              <w:top w:val="nil"/>
              <w:left w:val="nil"/>
              <w:bottom w:val="single" w:color="auto" w:sz="8" w:space="0"/>
              <w:right w:val="single" w:color="auto" w:sz="8" w:space="0"/>
            </w:tcBorders>
            <w:tcMar>
              <w:top w:w="17" w:type="dxa"/>
              <w:left w:w="17" w:type="dxa"/>
              <w:bottom w:w="17" w:type="dxa"/>
              <w:right w:w="17" w:type="dxa"/>
            </w:tcMar>
            <w:vAlign w:val="center"/>
          </w:tcPr>
          <w:p w14:paraId="7CA1E810">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1.个人存在以下消防违法行为，由受委托单位消防行政执法人员依法给予个人警告或者五百元以下罚款的行政处罚：</w:t>
            </w:r>
          </w:p>
          <w:p w14:paraId="4D0A86E7">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（1）损坏、挪用或者擅自拆除、停用消防设施、器材的处罚；</w:t>
            </w:r>
          </w:p>
          <w:p w14:paraId="2FDB534B">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（2）占用、堵塞、封闭疏散通道、安全出口或者有其他妨碍安全疏散行为的处罚；</w:t>
            </w:r>
          </w:p>
          <w:p w14:paraId="0FA8E1BE">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（3）埋压、圈占、遮挡消火栓，或者占用防火间距行为的处罚；</w:t>
            </w:r>
          </w:p>
          <w:p w14:paraId="38803C44">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（4）占用、堵塞、封闭消防车通道，妨碍消防车通行的处罚。</w:t>
            </w:r>
          </w:p>
          <w:p w14:paraId="7AB9604A">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2.单位存在以下消防违法行为，由受委托单位消防行政执法人员依法给予单位五千元以上一万元以下罚款的行政处罚：</w:t>
            </w:r>
          </w:p>
          <w:p w14:paraId="286C9B8C">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（1）消防设施、器材或者消防安全标志的配置、设置不符合国家标准、行业标准，或者未保持完好有效的；</w:t>
            </w:r>
          </w:p>
          <w:p w14:paraId="49732957">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（2）损坏、挪用或者擅自拆除、停用消防设施、器材的；</w:t>
            </w:r>
          </w:p>
          <w:p w14:paraId="6C74C7F7">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（3）占用、堵塞、封闭疏散通道、安全出口或者有其他妨碍安全疏散行为的；</w:t>
            </w:r>
          </w:p>
          <w:p w14:paraId="73A29F12">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（4）埋压、圈占、遮挡消火栓或者占用防火间距的；</w:t>
            </w:r>
          </w:p>
          <w:p w14:paraId="3A46BC84">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（5）占用、堵塞、封闭消防车通道，妨碍消防车通行的；</w:t>
            </w:r>
          </w:p>
          <w:p w14:paraId="04A671A7">
            <w:pPr>
              <w:widowControl/>
              <w:spacing w:line="260" w:lineRule="exact"/>
              <w:ind w:firstLine="420" w:firstLineChars="200"/>
              <w:rPr>
                <w:rFonts w:ascii="仿宋_GB2312" w:hAnsi="仿宋_GB2312" w:eastAsia="仿宋_GB2312" w:cs="仿宋_GB2312"/>
              </w:rPr>
            </w:pPr>
            <w:r>
              <w:rPr>
                <w:rFonts w:hint="eastAsia" w:ascii="仿宋_GB2312" w:hAnsi="仿宋_GB2312" w:eastAsia="仿宋_GB2312" w:cs="仿宋_GB2312"/>
              </w:rPr>
              <w:t>（6）人员密集场所在门窗上设置影响逃生和灭火救援的障碍的。</w:t>
            </w:r>
          </w:p>
        </w:tc>
      </w:tr>
      <w:tr w14:paraId="485C858D">
        <w:tblPrEx>
          <w:tblCellMar>
            <w:top w:w="0" w:type="dxa"/>
            <w:left w:w="0" w:type="dxa"/>
            <w:bottom w:w="0" w:type="dxa"/>
            <w:right w:w="0" w:type="dxa"/>
          </w:tblCellMar>
        </w:tblPrEx>
        <w:trPr>
          <w:trHeight w:val="1115" w:hRule="atLeast"/>
          <w:jc w:val="center"/>
        </w:trPr>
        <w:tc>
          <w:tcPr>
            <w:tcW w:w="577" w:type="dxa"/>
            <w:tcBorders>
              <w:top w:val="nil"/>
              <w:left w:val="single" w:color="auto" w:sz="8" w:space="0"/>
              <w:bottom w:val="single" w:color="auto" w:sz="8" w:space="0"/>
              <w:right w:val="single" w:color="auto" w:sz="8" w:space="0"/>
            </w:tcBorders>
            <w:tcMar>
              <w:top w:w="17" w:type="dxa"/>
              <w:left w:w="17" w:type="dxa"/>
              <w:bottom w:w="17" w:type="dxa"/>
              <w:right w:w="17" w:type="dxa"/>
            </w:tcMar>
            <w:vAlign w:val="center"/>
          </w:tcPr>
          <w:p w14:paraId="7A3EC736">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消防监督管理行政处罚</w:t>
            </w:r>
          </w:p>
        </w:tc>
        <w:tc>
          <w:tcPr>
            <w:tcW w:w="1042" w:type="dxa"/>
            <w:tcBorders>
              <w:top w:val="nil"/>
              <w:left w:val="nil"/>
              <w:bottom w:val="single" w:color="auto" w:sz="8" w:space="0"/>
              <w:right w:val="single" w:color="auto" w:sz="8" w:space="0"/>
            </w:tcBorders>
            <w:tcMar>
              <w:top w:w="17" w:type="dxa"/>
              <w:left w:w="17" w:type="dxa"/>
              <w:bottom w:w="17" w:type="dxa"/>
              <w:right w:w="17" w:type="dxa"/>
            </w:tcMar>
            <w:vAlign w:val="center"/>
          </w:tcPr>
          <w:p w14:paraId="65CB5E72">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区消防救援大队</w:t>
            </w:r>
          </w:p>
        </w:tc>
        <w:tc>
          <w:tcPr>
            <w:tcW w:w="1498" w:type="dxa"/>
            <w:tcBorders>
              <w:top w:val="nil"/>
              <w:left w:val="nil"/>
              <w:bottom w:val="single" w:color="auto" w:sz="8" w:space="0"/>
              <w:right w:val="single" w:color="auto" w:sz="8" w:space="0"/>
            </w:tcBorders>
            <w:tcMar>
              <w:top w:w="17" w:type="dxa"/>
              <w:left w:w="17" w:type="dxa"/>
              <w:bottom w:w="17" w:type="dxa"/>
              <w:right w:w="17" w:type="dxa"/>
            </w:tcMar>
            <w:vAlign w:val="center"/>
          </w:tcPr>
          <w:p w14:paraId="5D37DEF9">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杜阮镇人民政府</w:t>
            </w:r>
          </w:p>
        </w:tc>
        <w:tc>
          <w:tcPr>
            <w:tcW w:w="3267" w:type="dxa"/>
            <w:tcBorders>
              <w:top w:val="nil"/>
              <w:left w:val="nil"/>
              <w:bottom w:val="single" w:color="auto" w:sz="8" w:space="0"/>
              <w:right w:val="single" w:color="auto" w:sz="8" w:space="0"/>
            </w:tcBorders>
            <w:tcMar>
              <w:top w:w="17" w:type="dxa"/>
              <w:left w:w="17" w:type="dxa"/>
              <w:bottom w:w="17" w:type="dxa"/>
              <w:right w:w="17" w:type="dxa"/>
            </w:tcMar>
            <w:vAlign w:val="center"/>
          </w:tcPr>
          <w:p w14:paraId="51971818">
            <w:pPr>
              <w:widowControl/>
              <w:numPr>
                <w:ilvl w:val="0"/>
                <w:numId w:val="2"/>
              </w:numPr>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《中华人民共和国消防法》第六十一条：生产、储存、经营易燃易爆危险品的场所与居住建筑设置在同一建筑物内，或者未与居住场所保持安全距离的，责令停产停业，并处五千元以上五万元以下罚款。</w:t>
            </w:r>
          </w:p>
          <w:p w14:paraId="5513BA46">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生产、储存、经营其他物品的场所与居住场所设置在同一建筑物内，不符合消防技术标准的，依照前款规定处罚。</w:t>
            </w:r>
          </w:p>
        </w:tc>
        <w:tc>
          <w:tcPr>
            <w:tcW w:w="3424" w:type="dxa"/>
            <w:tcBorders>
              <w:top w:val="nil"/>
              <w:left w:val="nil"/>
              <w:bottom w:val="single" w:color="auto" w:sz="8" w:space="0"/>
              <w:right w:val="single" w:color="auto" w:sz="8" w:space="0"/>
            </w:tcBorders>
            <w:tcMar>
              <w:top w:w="17" w:type="dxa"/>
              <w:left w:w="17" w:type="dxa"/>
              <w:bottom w:w="17" w:type="dxa"/>
              <w:right w:w="17" w:type="dxa"/>
            </w:tcMar>
            <w:vAlign w:val="center"/>
          </w:tcPr>
          <w:p w14:paraId="70E0B278">
            <w:pPr>
              <w:widowControl/>
              <w:numPr>
                <w:ilvl w:val="0"/>
                <w:numId w:val="0"/>
              </w:numPr>
              <w:spacing w:line="260" w:lineRule="exact"/>
              <w:ind w:firstLine="420" w:firstLineChars="200"/>
              <w:rPr>
                <w:rFonts w:ascii="仿宋_GB2312" w:hAnsi="仿宋_GB2312" w:eastAsia="仿宋_GB2312" w:cs="仿宋_GB2312"/>
                <w:color w:val="000000"/>
                <w:szCs w:val="21"/>
                <w:highlight w:val="none"/>
              </w:rPr>
            </w:pPr>
            <w:r>
              <w:rPr>
                <w:rFonts w:hint="eastAsia" w:ascii="仿宋_GB2312" w:hAnsi="仿宋_GB2312" w:eastAsia="仿宋_GB2312" w:cs="仿宋_GB2312"/>
                <w:color w:val="000000"/>
                <w:szCs w:val="21"/>
                <w:highlight w:val="none"/>
                <w:lang w:val="en-US" w:eastAsia="zh-CN"/>
              </w:rPr>
              <w:t>个人和单位</w:t>
            </w:r>
            <w:r>
              <w:rPr>
                <w:rFonts w:hint="eastAsia" w:ascii="仿宋_GB2312" w:hAnsi="仿宋_GB2312" w:eastAsia="仿宋_GB2312" w:cs="仿宋_GB2312"/>
                <w:color w:val="000000"/>
                <w:szCs w:val="21"/>
                <w:highlight w:val="none"/>
              </w:rPr>
              <w:t>存在以下消防违</w:t>
            </w:r>
            <w:r>
              <w:rPr>
                <w:rFonts w:hint="eastAsia" w:ascii="仿宋_GB2312" w:hAnsi="仿宋_GB2312" w:eastAsia="仿宋_GB2312" w:cs="仿宋_GB2312"/>
                <w:highlight w:val="none"/>
              </w:rPr>
              <w:t>法行为，由受委托单位消防行政执法人员责令停产停业，</w:t>
            </w:r>
            <w:r>
              <w:rPr>
                <w:rFonts w:hint="eastAsia" w:ascii="仿宋_GB2312" w:hAnsi="仿宋_GB2312" w:eastAsia="仿宋_GB2312" w:cs="仿宋_GB2312"/>
                <w:color w:val="000000"/>
                <w:szCs w:val="21"/>
                <w:highlight w:val="none"/>
              </w:rPr>
              <w:t>并处五千元以上五万元以下罚款。</w:t>
            </w:r>
          </w:p>
          <w:p w14:paraId="69B4AA34">
            <w:pPr>
              <w:widowControl/>
              <w:spacing w:line="260" w:lineRule="exact"/>
              <w:ind w:firstLine="471"/>
              <w:rPr>
                <w:rFonts w:ascii="仿宋_GB2312" w:hAnsi="仿宋_GB2312" w:eastAsia="仿宋_GB2312" w:cs="仿宋_GB2312"/>
                <w:color w:val="000000"/>
                <w:szCs w:val="21"/>
                <w:highlight w:val="none"/>
              </w:rPr>
            </w:pPr>
            <w:r>
              <w:rPr>
                <w:rFonts w:hint="eastAsia" w:ascii="仿宋_GB2312" w:hAnsi="仿宋_GB2312" w:eastAsia="仿宋_GB2312" w:cs="仿宋_GB2312"/>
                <w:color w:val="000000"/>
                <w:szCs w:val="21"/>
                <w:highlight w:val="none"/>
              </w:rPr>
              <w:t>（1）生产、储存、经营易燃易爆危险品的场所与居住场所设置在同一建筑物内，或者未与居住场所保持安全距离的；</w:t>
            </w:r>
          </w:p>
          <w:p w14:paraId="10EB218D">
            <w:pPr>
              <w:widowControl/>
              <w:spacing w:line="260" w:lineRule="exact"/>
              <w:ind w:firstLine="471"/>
              <w:rPr>
                <w:rFonts w:ascii="仿宋_GB2312" w:hAnsi="仿宋_GB2312" w:eastAsia="仿宋_GB2312" w:cs="仿宋_GB2312"/>
                <w:color w:val="000000"/>
                <w:szCs w:val="21"/>
                <w:highlight w:val="none"/>
              </w:rPr>
            </w:pPr>
            <w:r>
              <w:rPr>
                <w:rFonts w:hint="eastAsia" w:ascii="仿宋_GB2312" w:hAnsi="仿宋_GB2312" w:eastAsia="仿宋_GB2312" w:cs="仿宋_GB2312"/>
                <w:color w:val="000000"/>
                <w:szCs w:val="21"/>
                <w:highlight w:val="none"/>
              </w:rPr>
              <w:t>（2）生产、储存、经营其他物品的场所与居住场所设置在同一建筑物内，不符合消防技术标准的。</w:t>
            </w:r>
          </w:p>
        </w:tc>
      </w:tr>
      <w:tr w14:paraId="05F69339">
        <w:tblPrEx>
          <w:tblCellMar>
            <w:top w:w="0" w:type="dxa"/>
            <w:left w:w="0" w:type="dxa"/>
            <w:bottom w:w="0" w:type="dxa"/>
            <w:right w:w="0" w:type="dxa"/>
          </w:tblCellMar>
        </w:tblPrEx>
        <w:trPr>
          <w:trHeight w:val="896" w:hRule="atLeast"/>
          <w:jc w:val="center"/>
        </w:trPr>
        <w:tc>
          <w:tcPr>
            <w:tcW w:w="577" w:type="dxa"/>
            <w:tcBorders>
              <w:top w:val="single" w:color="auto" w:sz="4" w:space="0"/>
              <w:left w:val="single" w:color="auto" w:sz="8" w:space="0"/>
              <w:bottom w:val="single" w:color="auto" w:sz="4" w:space="0"/>
              <w:right w:val="single" w:color="auto" w:sz="8" w:space="0"/>
            </w:tcBorders>
            <w:tcMar>
              <w:top w:w="17" w:type="dxa"/>
              <w:left w:w="17" w:type="dxa"/>
              <w:bottom w:w="17" w:type="dxa"/>
              <w:right w:w="17" w:type="dxa"/>
            </w:tcMar>
            <w:vAlign w:val="center"/>
          </w:tcPr>
          <w:p w14:paraId="40944A6D">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消防监督管理行政处罚</w:t>
            </w:r>
          </w:p>
        </w:tc>
        <w:tc>
          <w:tcPr>
            <w:tcW w:w="1042"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3CB97AFD">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区消防救援大队</w:t>
            </w:r>
          </w:p>
        </w:tc>
        <w:tc>
          <w:tcPr>
            <w:tcW w:w="1498"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241F4F9C">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杜阮镇人民政府</w:t>
            </w:r>
          </w:p>
        </w:tc>
        <w:tc>
          <w:tcPr>
            <w:tcW w:w="3267"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20F1AC9B">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三、《中华人民共和国消防法》第六十三条：违反本法规定，有下列行为之一的，处警告或者五百元以下罚款；情节严重的，处五日以下拘留：</w:t>
            </w:r>
          </w:p>
          <w:p w14:paraId="35855E75">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（一）违反消防安全规定进入生产、储存易燃易爆危险品场所的；</w:t>
            </w:r>
          </w:p>
          <w:p w14:paraId="052127C3">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（二）违反规定使用明火作业或者在具有火灾、爆炸危险的场所吸烟、使用明火的。</w:t>
            </w:r>
          </w:p>
        </w:tc>
        <w:tc>
          <w:tcPr>
            <w:tcW w:w="3424"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02908A40">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个人存在以下消防违法行为，由</w:t>
            </w:r>
            <w:r>
              <w:rPr>
                <w:rFonts w:hint="eastAsia" w:ascii="仿宋_GB2312" w:hAnsi="仿宋_GB2312" w:eastAsia="仿宋_GB2312" w:cs="仿宋_GB2312"/>
              </w:rPr>
              <w:t>受委托单位</w:t>
            </w:r>
            <w:r>
              <w:rPr>
                <w:rFonts w:hint="eastAsia" w:ascii="仿宋_GB2312" w:hAnsi="仿宋_GB2312" w:eastAsia="仿宋_GB2312" w:cs="仿宋_GB2312"/>
                <w:color w:val="000000"/>
                <w:szCs w:val="21"/>
              </w:rPr>
              <w:t>消防行政执法人员依法给予个人警告或者五百元以下罚款的行政处罚：</w:t>
            </w:r>
          </w:p>
          <w:p w14:paraId="35E901BF">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（1）违反消防安全规定进入生产、储存易燃易爆危险品场所的，情节较轻的处罚；</w:t>
            </w:r>
          </w:p>
          <w:p w14:paraId="472F7741">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（2）违反规定使用明火作业或者在具有火灾、爆炸危险的场所吸烟、使用明火的，情节较轻的处罚；</w:t>
            </w:r>
          </w:p>
        </w:tc>
      </w:tr>
      <w:tr w14:paraId="7B1487C6">
        <w:tblPrEx>
          <w:tblCellMar>
            <w:top w:w="0" w:type="dxa"/>
            <w:left w:w="0" w:type="dxa"/>
            <w:bottom w:w="0" w:type="dxa"/>
            <w:right w:w="0" w:type="dxa"/>
          </w:tblCellMar>
        </w:tblPrEx>
        <w:trPr>
          <w:trHeight w:val="896" w:hRule="atLeast"/>
          <w:jc w:val="center"/>
        </w:trPr>
        <w:tc>
          <w:tcPr>
            <w:tcW w:w="577" w:type="dxa"/>
            <w:tcBorders>
              <w:top w:val="single" w:color="auto" w:sz="4" w:space="0"/>
              <w:left w:val="single" w:color="auto" w:sz="8" w:space="0"/>
              <w:bottom w:val="single" w:color="auto" w:sz="4" w:space="0"/>
              <w:right w:val="single" w:color="auto" w:sz="8" w:space="0"/>
            </w:tcBorders>
            <w:tcMar>
              <w:top w:w="17" w:type="dxa"/>
              <w:left w:w="17" w:type="dxa"/>
              <w:bottom w:w="17" w:type="dxa"/>
              <w:right w:w="17" w:type="dxa"/>
            </w:tcMar>
            <w:vAlign w:val="center"/>
          </w:tcPr>
          <w:p w14:paraId="5828253F">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消防监督管理行政处罚</w:t>
            </w:r>
          </w:p>
        </w:tc>
        <w:tc>
          <w:tcPr>
            <w:tcW w:w="1042"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50A397B2">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区消防救援大队</w:t>
            </w:r>
          </w:p>
        </w:tc>
        <w:tc>
          <w:tcPr>
            <w:tcW w:w="1498"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533D04B2">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杜阮镇人民政府</w:t>
            </w:r>
          </w:p>
        </w:tc>
        <w:tc>
          <w:tcPr>
            <w:tcW w:w="3267"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4A9E4EF5">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四、《中华人民共和国消防法》第六十四条：违反本法规定，有下列行为之一的，尚不构成犯罪的，处十日以上十五日以下拘留，可以并处五百元以下罚款；情节较轻的，处警告或者五百元以下罚款：</w:t>
            </w:r>
          </w:p>
          <w:p w14:paraId="1AFC1BAC">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（一）指使或者强令他人违反消防安全规定，冒险作业的；</w:t>
            </w:r>
          </w:p>
          <w:p w14:paraId="611F6B08">
            <w:pPr>
              <w:widowControl/>
              <w:spacing w:line="260" w:lineRule="exact"/>
              <w:ind w:firstLine="472"/>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（二）过失引起火灾的；</w:t>
            </w:r>
          </w:p>
          <w:p w14:paraId="6C7D1F92">
            <w:pPr>
              <w:widowControl/>
              <w:spacing w:line="260" w:lineRule="exact"/>
              <w:ind w:firstLine="472"/>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（三）在火灾发生后阻拦报警，或者负有报告职责的人员不及时报警的；</w:t>
            </w:r>
          </w:p>
          <w:p w14:paraId="3EF97669">
            <w:pPr>
              <w:widowControl/>
              <w:spacing w:line="260" w:lineRule="exact"/>
              <w:ind w:firstLine="472"/>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（四）扰乱火灾现场秩序，或者拒不执行火灾现场指挥员指挥，影响灭火救援的；</w:t>
            </w:r>
          </w:p>
          <w:p w14:paraId="64B4245A">
            <w:pPr>
              <w:widowControl/>
              <w:spacing w:line="260" w:lineRule="exact"/>
              <w:ind w:firstLine="472"/>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（五）故意破坏或者伪造火灾现场的；</w:t>
            </w:r>
          </w:p>
          <w:p w14:paraId="09A80830">
            <w:pPr>
              <w:widowControl/>
              <w:spacing w:line="260" w:lineRule="exact"/>
              <w:ind w:firstLine="472"/>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（六）擅自拆封或者使用被消防救援机构查封的场所、部位的。</w:t>
            </w:r>
          </w:p>
        </w:tc>
        <w:tc>
          <w:tcPr>
            <w:tcW w:w="3424"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426CBD64">
            <w:pPr>
              <w:widowControl/>
              <w:spacing w:line="260" w:lineRule="exact"/>
              <w:ind w:firstLine="471"/>
              <w:rPr>
                <w:rFonts w:ascii="仿宋_GB2312" w:hAnsi="仿宋_GB2312" w:eastAsia="仿宋_GB2312" w:cs="仿宋_GB2312"/>
                <w:color w:val="000000"/>
                <w:sz w:val="32"/>
                <w:szCs w:val="32"/>
              </w:rPr>
            </w:pPr>
            <w:r>
              <w:rPr>
                <w:rFonts w:hint="eastAsia" w:ascii="仿宋_GB2312" w:hAnsi="仿宋_GB2312" w:eastAsia="仿宋_GB2312" w:cs="仿宋_GB2312"/>
                <w:color w:val="000000"/>
                <w:szCs w:val="21"/>
              </w:rPr>
              <w:t>个人存在以下消防违法行为，由</w:t>
            </w:r>
            <w:r>
              <w:rPr>
                <w:rFonts w:hint="eastAsia" w:ascii="仿宋_GB2312" w:hAnsi="仿宋_GB2312" w:eastAsia="仿宋_GB2312" w:cs="仿宋_GB2312"/>
              </w:rPr>
              <w:t>受委托单位</w:t>
            </w:r>
            <w:r>
              <w:rPr>
                <w:rFonts w:hint="eastAsia" w:ascii="仿宋_GB2312" w:hAnsi="仿宋_GB2312" w:eastAsia="仿宋_GB2312" w:cs="仿宋_GB2312"/>
                <w:color w:val="000000"/>
                <w:szCs w:val="21"/>
              </w:rPr>
              <w:t>消防行政执法人员依法给予个人警告或者五百元以下罚款的行政处罚：</w:t>
            </w:r>
          </w:p>
          <w:p w14:paraId="5E904705">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（1）指使或者强令他人违反消防安全规定，冒险作业的，情节较轻的处罚；</w:t>
            </w:r>
          </w:p>
          <w:p w14:paraId="3E8F6AE4">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（2）对过失引起火灾的，情节较轻的处罚；</w:t>
            </w:r>
          </w:p>
          <w:p w14:paraId="37AA07AB">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（3）在火灾发生后阻拦报警，或者负有报告职责的人员不及时报警的，情节较轻的处罚；</w:t>
            </w:r>
          </w:p>
          <w:p w14:paraId="675B8A54">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（4）扰乱火灾现场秩序，或者拒不执行火灾现场指挥员指挥，影响灭火救援的，情节较轻的处罚；</w:t>
            </w:r>
          </w:p>
          <w:p w14:paraId="313FFD7E">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（5）故意破坏或者伪造火灾现场的，情节较轻的处罚；</w:t>
            </w:r>
          </w:p>
          <w:p w14:paraId="5D1E1237">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（6）擅自拆封或者使用被消防救援机构查封的场所、部位的，情节较轻的处罚。</w:t>
            </w:r>
          </w:p>
        </w:tc>
      </w:tr>
      <w:tr w14:paraId="68602025">
        <w:tblPrEx>
          <w:tblCellMar>
            <w:top w:w="0" w:type="dxa"/>
            <w:left w:w="0" w:type="dxa"/>
            <w:bottom w:w="0" w:type="dxa"/>
            <w:right w:w="0" w:type="dxa"/>
          </w:tblCellMar>
        </w:tblPrEx>
        <w:trPr>
          <w:trHeight w:val="896" w:hRule="atLeast"/>
          <w:jc w:val="center"/>
        </w:trPr>
        <w:tc>
          <w:tcPr>
            <w:tcW w:w="577" w:type="dxa"/>
            <w:tcBorders>
              <w:top w:val="single" w:color="auto" w:sz="4" w:space="0"/>
              <w:left w:val="single" w:color="auto" w:sz="8" w:space="0"/>
              <w:bottom w:val="single" w:color="auto" w:sz="4" w:space="0"/>
              <w:right w:val="single" w:color="auto" w:sz="8" w:space="0"/>
            </w:tcBorders>
            <w:tcMar>
              <w:top w:w="17" w:type="dxa"/>
              <w:left w:w="17" w:type="dxa"/>
              <w:bottom w:w="17" w:type="dxa"/>
              <w:right w:w="17" w:type="dxa"/>
            </w:tcMar>
            <w:vAlign w:val="center"/>
          </w:tcPr>
          <w:p w14:paraId="1B8D9620">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消防监督管理行政处罚</w:t>
            </w:r>
          </w:p>
        </w:tc>
        <w:tc>
          <w:tcPr>
            <w:tcW w:w="1042"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576E1617">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区消防救援大队</w:t>
            </w:r>
          </w:p>
        </w:tc>
        <w:tc>
          <w:tcPr>
            <w:tcW w:w="1498"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48BDA9EE">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杜阮镇人民政府</w:t>
            </w:r>
          </w:p>
        </w:tc>
        <w:tc>
          <w:tcPr>
            <w:tcW w:w="3267"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096D5EA9">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五、《中华人民共和国消防法》第六十六条：电器产品、燃气用具的安装、使用及其线路、管路的设计、敷设、维护保养、检测不符合消防技术标准和管理规定的，责令限期改正；逾期不改正的，责令停止使用，可以并处一千元以上五千元以下罚款。</w:t>
            </w:r>
          </w:p>
          <w:p w14:paraId="3FABF302">
            <w:pPr>
              <w:widowControl/>
              <w:spacing w:line="260" w:lineRule="exact"/>
              <w:ind w:firstLine="472"/>
              <w:rPr>
                <w:rFonts w:ascii="仿宋_GB2312" w:hAnsi="仿宋_GB2312" w:eastAsia="仿宋_GB2312" w:cs="仿宋_GB2312"/>
                <w:color w:val="000000"/>
                <w:szCs w:val="21"/>
              </w:rPr>
            </w:pPr>
          </w:p>
        </w:tc>
        <w:tc>
          <w:tcPr>
            <w:tcW w:w="3424"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5CCF5CEB">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个人和单位</w:t>
            </w:r>
            <w:r>
              <w:rPr>
                <w:rFonts w:hint="eastAsia" w:ascii="仿宋_GB2312" w:hAnsi="仿宋_GB2312" w:eastAsia="仿宋_GB2312" w:cs="仿宋_GB2312"/>
                <w:color w:val="000000"/>
                <w:szCs w:val="21"/>
              </w:rPr>
              <w:t>存在以下消防违法行为，由</w:t>
            </w:r>
            <w:r>
              <w:rPr>
                <w:rFonts w:hint="eastAsia" w:ascii="仿宋_GB2312" w:hAnsi="仿宋_GB2312" w:eastAsia="仿宋_GB2312" w:cs="仿宋_GB2312"/>
              </w:rPr>
              <w:t>受委托单位</w:t>
            </w:r>
            <w:r>
              <w:rPr>
                <w:rFonts w:hint="eastAsia" w:ascii="仿宋_GB2312" w:hAnsi="仿宋_GB2312" w:eastAsia="仿宋_GB2312" w:cs="仿宋_GB2312"/>
                <w:color w:val="000000"/>
                <w:szCs w:val="21"/>
              </w:rPr>
              <w:t>消防行政执法人员依法责令限期改正；逾期不改正的，责令停止使用，可以并处一千元以上五千元以下罚款的行政处罚：</w:t>
            </w:r>
          </w:p>
          <w:p w14:paraId="2DD88C3F">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（1）电器产品、燃气用具的安装、使用及其线路、管路的设计、敷设、维护保养、检查不符合消防技术标准和管理规定的。</w:t>
            </w:r>
          </w:p>
        </w:tc>
      </w:tr>
      <w:tr w14:paraId="6930E7C7">
        <w:tblPrEx>
          <w:tblCellMar>
            <w:top w:w="0" w:type="dxa"/>
            <w:left w:w="0" w:type="dxa"/>
            <w:bottom w:w="0" w:type="dxa"/>
            <w:right w:w="0" w:type="dxa"/>
          </w:tblCellMar>
        </w:tblPrEx>
        <w:trPr>
          <w:trHeight w:val="896" w:hRule="atLeast"/>
          <w:jc w:val="center"/>
        </w:trPr>
        <w:tc>
          <w:tcPr>
            <w:tcW w:w="577" w:type="dxa"/>
            <w:tcBorders>
              <w:top w:val="single" w:color="auto" w:sz="4" w:space="0"/>
              <w:left w:val="single" w:color="auto" w:sz="8" w:space="0"/>
              <w:bottom w:val="single" w:color="auto" w:sz="4" w:space="0"/>
              <w:right w:val="single" w:color="auto" w:sz="8" w:space="0"/>
            </w:tcBorders>
            <w:tcMar>
              <w:top w:w="17" w:type="dxa"/>
              <w:left w:w="17" w:type="dxa"/>
              <w:bottom w:w="17" w:type="dxa"/>
              <w:right w:w="17" w:type="dxa"/>
            </w:tcMar>
            <w:vAlign w:val="center"/>
          </w:tcPr>
          <w:p w14:paraId="37772E36">
            <w:pPr>
              <w:widowControl/>
              <w:spacing w:line="260" w:lineRule="exact"/>
              <w:jc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Cs w:val="21"/>
              </w:rPr>
              <w:t>消防监督管理行政处罚</w:t>
            </w:r>
          </w:p>
        </w:tc>
        <w:tc>
          <w:tcPr>
            <w:tcW w:w="1042"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7435172A">
            <w:pPr>
              <w:widowControl/>
              <w:spacing w:line="260" w:lineRule="exact"/>
              <w:jc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Cs w:val="21"/>
              </w:rPr>
              <w:t>区消防救援大队</w:t>
            </w:r>
          </w:p>
        </w:tc>
        <w:tc>
          <w:tcPr>
            <w:tcW w:w="1498"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6D864F51">
            <w:pPr>
              <w:widowControl/>
              <w:spacing w:line="260" w:lineRule="exact"/>
              <w:jc w:val="center"/>
              <w:rPr>
                <w:rFonts w:hint="eastAsia" w:ascii="仿宋_GB2312" w:hAnsi="仿宋_GB2312" w:eastAsia="仿宋_GB2312" w:cs="仿宋_GB2312"/>
                <w:lang w:val="en-US" w:eastAsia="zh-CN"/>
              </w:rPr>
            </w:pPr>
            <w:r>
              <w:rPr>
                <w:rFonts w:hint="eastAsia" w:ascii="仿宋_GB2312" w:hAnsi="仿宋_GB2312" w:eastAsia="仿宋_GB2312" w:cs="仿宋_GB2312"/>
                <w:color w:val="000000"/>
                <w:szCs w:val="21"/>
                <w:lang w:val="en-US" w:eastAsia="zh-CN"/>
              </w:rPr>
              <w:t>杜阮镇人民政府</w:t>
            </w:r>
          </w:p>
        </w:tc>
        <w:tc>
          <w:tcPr>
            <w:tcW w:w="3267"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42CCFE4E">
            <w:pPr>
              <w:widowControl/>
              <w:spacing w:line="260" w:lineRule="exact"/>
              <w:ind w:firstLine="42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六、</w:t>
            </w:r>
            <w:r>
              <w:rPr>
                <w:rFonts w:hint="eastAsia" w:ascii="仿宋_GB2312" w:hAnsi="仿宋_GB2312" w:eastAsia="仿宋_GB2312" w:cs="仿宋_GB2312"/>
                <w:color w:val="000000"/>
                <w:szCs w:val="21"/>
              </w:rPr>
              <w:t>《广东省实施〈中华人民共和国消防法〉办法》第四十四条</w:t>
            </w:r>
            <w:r>
              <w:rPr>
                <w:rFonts w:hint="eastAsia" w:ascii="仿宋_GB2312" w:hAnsi="仿宋_GB2312" w:eastAsia="仿宋_GB2312" w:cs="仿宋_GB2312"/>
                <w:color w:val="000000"/>
                <w:szCs w:val="21"/>
                <w:lang w:eastAsia="zh-CN"/>
              </w:rPr>
              <w:t>：</w:t>
            </w:r>
            <w:r>
              <w:rPr>
                <w:rFonts w:hint="eastAsia" w:ascii="仿宋_GB2312" w:hAnsi="仿宋_GB2312" w:eastAsia="仿宋_GB2312" w:cs="仿宋_GB2312"/>
                <w:color w:val="000000"/>
                <w:szCs w:val="21"/>
              </w:rPr>
              <w:t>物业服务人违反本办法第十二条第一款第一项、第二项、第五项以及第三款规定，未履行消防安全责任的，由消防救援机构或者住房城乡建设主管部门按照职权责令限期改正；逾期不改正的，处五千元以上二万元以下罚款；情节严重的，处二万元以上五万元以下罚款。</w:t>
            </w:r>
          </w:p>
          <w:p w14:paraId="6DA1D325">
            <w:pPr>
              <w:widowControl/>
              <w:spacing w:line="260" w:lineRule="exact"/>
              <w:ind w:firstLine="472"/>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违反前款规定，物业服务人为个人的，处警告或者五百元以下罚款。</w:t>
            </w:r>
          </w:p>
        </w:tc>
        <w:tc>
          <w:tcPr>
            <w:tcW w:w="3424"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5142220C">
            <w:pPr>
              <w:widowControl/>
              <w:spacing w:line="260" w:lineRule="exact"/>
              <w:ind w:firstLine="472"/>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单位</w:t>
            </w:r>
            <w:r>
              <w:rPr>
                <w:rFonts w:hint="eastAsia" w:ascii="仿宋_GB2312" w:hAnsi="仿宋_GB2312" w:eastAsia="仿宋_GB2312" w:cs="仿宋_GB2312"/>
                <w:color w:val="000000"/>
                <w:szCs w:val="21"/>
              </w:rPr>
              <w:t>存在以下消防违法行为，由受委托单位消防行政执法人员按照职权责令限期改正；逾期不改正的，处五千元以上</w:t>
            </w:r>
            <w:r>
              <w:rPr>
                <w:rFonts w:hint="eastAsia" w:ascii="仿宋_GB2312" w:hAnsi="仿宋_GB2312" w:eastAsia="仿宋_GB2312" w:cs="仿宋_GB2312"/>
                <w:color w:val="000000"/>
                <w:szCs w:val="21"/>
                <w:lang w:val="en-US" w:eastAsia="zh-CN"/>
              </w:rPr>
              <w:t>一</w:t>
            </w:r>
            <w:r>
              <w:rPr>
                <w:rFonts w:hint="eastAsia" w:ascii="仿宋_GB2312" w:hAnsi="仿宋_GB2312" w:eastAsia="仿宋_GB2312" w:cs="仿宋_GB2312"/>
                <w:color w:val="000000"/>
                <w:szCs w:val="21"/>
              </w:rPr>
              <w:t>万元以下罚款；物业服务人为个人的，处警告或者五百元以下罚款</w:t>
            </w:r>
            <w:r>
              <w:rPr>
                <w:rFonts w:hint="eastAsia" w:ascii="仿宋_GB2312" w:hAnsi="仿宋_GB2312" w:eastAsia="仿宋_GB2312" w:cs="仿宋_GB2312"/>
                <w:color w:val="000000"/>
                <w:szCs w:val="21"/>
                <w:lang w:eastAsia="zh-CN"/>
              </w:rPr>
              <w:t>：</w:t>
            </w:r>
          </w:p>
          <w:p w14:paraId="59AE3BE6">
            <w:pPr>
              <w:widowControl/>
              <w:spacing w:line="260" w:lineRule="exact"/>
              <w:ind w:firstLine="472"/>
              <w:rPr>
                <w:rFonts w:hint="eastAsia" w:eastAsia="仿宋_GB2312"/>
                <w:lang w:eastAsia="zh-CN"/>
              </w:rPr>
            </w:pPr>
            <w:r>
              <w:rPr>
                <w:rFonts w:hint="eastAsia" w:ascii="仿宋_GB2312" w:hAnsi="仿宋_GB2312" w:eastAsia="仿宋_GB2312" w:cs="仿宋_GB2312"/>
                <w:color w:val="000000"/>
                <w:szCs w:val="21"/>
              </w:rPr>
              <w:t>物业服务人违反《广东省实施〈中华人民共和国消防法〉办法》第十二条第一款第一项、第二项、第五项以及第三款规定，未履行消防安全责任的</w:t>
            </w:r>
            <w:r>
              <w:rPr>
                <w:rFonts w:hint="eastAsia" w:ascii="仿宋_GB2312" w:hAnsi="仿宋_GB2312" w:eastAsia="仿宋_GB2312" w:cs="仿宋_GB2312"/>
                <w:color w:val="000000"/>
                <w:szCs w:val="21"/>
                <w:lang w:eastAsia="zh-CN"/>
              </w:rPr>
              <w:t>。</w:t>
            </w:r>
          </w:p>
        </w:tc>
      </w:tr>
      <w:tr w14:paraId="2871EF93">
        <w:tblPrEx>
          <w:tblCellMar>
            <w:top w:w="0" w:type="dxa"/>
            <w:left w:w="0" w:type="dxa"/>
            <w:bottom w:w="0" w:type="dxa"/>
            <w:right w:w="0" w:type="dxa"/>
          </w:tblCellMar>
        </w:tblPrEx>
        <w:trPr>
          <w:trHeight w:val="896" w:hRule="atLeast"/>
          <w:jc w:val="center"/>
        </w:trPr>
        <w:tc>
          <w:tcPr>
            <w:tcW w:w="577" w:type="dxa"/>
            <w:tcBorders>
              <w:top w:val="single" w:color="auto" w:sz="4" w:space="0"/>
              <w:left w:val="single" w:color="auto" w:sz="8" w:space="0"/>
              <w:bottom w:val="single" w:color="auto" w:sz="4" w:space="0"/>
              <w:right w:val="single" w:color="auto" w:sz="8" w:space="0"/>
            </w:tcBorders>
            <w:tcMar>
              <w:top w:w="17" w:type="dxa"/>
              <w:left w:w="17" w:type="dxa"/>
              <w:bottom w:w="17" w:type="dxa"/>
              <w:right w:w="17" w:type="dxa"/>
            </w:tcMar>
            <w:vAlign w:val="center"/>
          </w:tcPr>
          <w:p w14:paraId="725A83E5">
            <w:pPr>
              <w:widowControl/>
              <w:spacing w:line="260" w:lineRule="exact"/>
              <w:jc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Cs w:val="21"/>
              </w:rPr>
              <w:t>消防监督管理行政处罚</w:t>
            </w:r>
          </w:p>
        </w:tc>
        <w:tc>
          <w:tcPr>
            <w:tcW w:w="1042"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75DFE03A">
            <w:pPr>
              <w:widowControl/>
              <w:spacing w:line="260" w:lineRule="exact"/>
              <w:jc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Cs w:val="21"/>
              </w:rPr>
              <w:t>区消防救援大队</w:t>
            </w:r>
          </w:p>
        </w:tc>
        <w:tc>
          <w:tcPr>
            <w:tcW w:w="1498"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7D97D797">
            <w:pPr>
              <w:widowControl/>
              <w:spacing w:line="260" w:lineRule="exact"/>
              <w:jc w:val="center"/>
              <w:rPr>
                <w:rFonts w:hint="eastAsia" w:ascii="仿宋_GB2312" w:hAnsi="仿宋_GB2312" w:eastAsia="仿宋_GB2312" w:cs="仿宋_GB2312"/>
                <w:lang w:val="en-US" w:eastAsia="zh-CN"/>
              </w:rPr>
            </w:pPr>
            <w:r>
              <w:rPr>
                <w:rFonts w:hint="eastAsia" w:ascii="仿宋_GB2312" w:hAnsi="仿宋_GB2312" w:eastAsia="仿宋_GB2312" w:cs="仿宋_GB2312"/>
                <w:color w:val="000000"/>
                <w:szCs w:val="21"/>
                <w:lang w:val="en-US" w:eastAsia="zh-CN"/>
              </w:rPr>
              <w:t>杜阮镇人民政府</w:t>
            </w:r>
          </w:p>
        </w:tc>
        <w:tc>
          <w:tcPr>
            <w:tcW w:w="3267"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731F0361">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七、</w:t>
            </w:r>
            <w:r>
              <w:rPr>
                <w:rFonts w:hint="eastAsia" w:ascii="仿宋_GB2312" w:hAnsi="仿宋_GB2312" w:eastAsia="仿宋_GB2312" w:cs="仿宋_GB2312"/>
                <w:color w:val="000000"/>
                <w:szCs w:val="21"/>
              </w:rPr>
              <w:t>《广东省实施〈中华人民共和国消防法〉办法》第四十五条</w:t>
            </w:r>
            <w:r>
              <w:rPr>
                <w:rFonts w:hint="eastAsia" w:ascii="仿宋_GB2312" w:hAnsi="仿宋_GB2312" w:eastAsia="仿宋_GB2312" w:cs="仿宋_GB2312"/>
                <w:color w:val="000000"/>
                <w:szCs w:val="21"/>
                <w:lang w:eastAsia="zh-CN"/>
              </w:rPr>
              <w:t>：</w:t>
            </w:r>
            <w:r>
              <w:rPr>
                <w:rFonts w:hint="eastAsia" w:ascii="仿宋_GB2312" w:hAnsi="仿宋_GB2312" w:eastAsia="仿宋_GB2312" w:cs="仿宋_GB2312"/>
                <w:color w:val="000000"/>
                <w:szCs w:val="21"/>
              </w:rPr>
              <w:t>消防控制室的管理单位违反本办法第十九条第二款规定，未落实消防控制室值班制度，或者安排不具备相应条件的人员值班的，由消防救援机构责令改正，对经营性单位处二千元以上一万元以下罚款，对非经营性单位处五百元以上一千元以下罚款。</w:t>
            </w:r>
          </w:p>
        </w:tc>
        <w:tc>
          <w:tcPr>
            <w:tcW w:w="3424"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295F3A2E">
            <w:pPr>
              <w:widowControl/>
              <w:spacing w:line="260" w:lineRule="exact"/>
              <w:ind w:firstLine="420" w:firstLineChars="200"/>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单位</w:t>
            </w:r>
            <w:r>
              <w:rPr>
                <w:rFonts w:hint="eastAsia" w:ascii="仿宋_GB2312" w:hAnsi="仿宋_GB2312" w:eastAsia="仿宋_GB2312" w:cs="仿宋_GB2312"/>
                <w:color w:val="000000"/>
                <w:szCs w:val="21"/>
              </w:rPr>
              <w:t>存在以下消防违法行为，由受委托单位消防行政执法人员责令改正，对经营性单位处二千元以上一万元以下罚款，对非经营性单位处五百元以上一千元以下罚款</w:t>
            </w:r>
            <w:r>
              <w:rPr>
                <w:rFonts w:hint="eastAsia" w:ascii="仿宋_GB2312" w:hAnsi="仿宋_GB2312" w:eastAsia="仿宋_GB2312" w:cs="仿宋_GB2312"/>
                <w:color w:val="000000"/>
                <w:szCs w:val="21"/>
                <w:lang w:eastAsia="zh-CN"/>
              </w:rPr>
              <w:t>：</w:t>
            </w:r>
            <w:r>
              <w:rPr>
                <w:rFonts w:hint="eastAsia" w:ascii="仿宋_GB2312" w:hAnsi="仿宋_GB2312" w:eastAsia="仿宋_GB2312" w:cs="仿宋_GB2312"/>
                <w:color w:val="000000"/>
                <w:szCs w:val="21"/>
                <w:lang w:val="en-US" w:eastAsia="zh-CN"/>
              </w:rPr>
              <w:t xml:space="preserve">    </w:t>
            </w:r>
          </w:p>
          <w:p w14:paraId="0BA633EA">
            <w:pPr>
              <w:widowControl/>
              <w:spacing w:line="260" w:lineRule="exact"/>
              <w:ind w:firstLine="420" w:firstLineChars="200"/>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1.消防控制室管理单位未落实消防控制室值班制度；</w:t>
            </w:r>
          </w:p>
          <w:p w14:paraId="7CF8347E">
            <w:pPr>
              <w:widowControl/>
              <w:spacing w:line="260" w:lineRule="exact"/>
              <w:ind w:firstLine="420" w:firstLineChars="200"/>
            </w:pPr>
            <w:r>
              <w:rPr>
                <w:rFonts w:hint="eastAsia" w:ascii="仿宋_GB2312" w:hAnsi="仿宋_GB2312" w:eastAsia="仿宋_GB2312" w:cs="仿宋_GB2312"/>
                <w:color w:val="000000"/>
                <w:szCs w:val="21"/>
                <w:lang w:val="en-US" w:eastAsia="zh-CN"/>
              </w:rPr>
              <w:t>2.消防控制室管理单位安排不具备相应条件的人员值班。</w:t>
            </w:r>
          </w:p>
          <w:p w14:paraId="0262921E">
            <w:pPr>
              <w:widowControl/>
              <w:spacing w:line="260" w:lineRule="exact"/>
              <w:ind w:firstLine="420" w:firstLineChars="200"/>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 xml:space="preserve">                                         </w:t>
            </w:r>
          </w:p>
        </w:tc>
      </w:tr>
      <w:tr w14:paraId="04B704B3">
        <w:tblPrEx>
          <w:tblCellMar>
            <w:top w:w="0" w:type="dxa"/>
            <w:left w:w="0" w:type="dxa"/>
            <w:bottom w:w="0" w:type="dxa"/>
            <w:right w:w="0" w:type="dxa"/>
          </w:tblCellMar>
        </w:tblPrEx>
        <w:trPr>
          <w:trHeight w:val="896" w:hRule="atLeast"/>
          <w:jc w:val="center"/>
        </w:trPr>
        <w:tc>
          <w:tcPr>
            <w:tcW w:w="577" w:type="dxa"/>
            <w:tcBorders>
              <w:top w:val="single" w:color="auto" w:sz="4" w:space="0"/>
              <w:left w:val="single" w:color="auto" w:sz="8" w:space="0"/>
              <w:bottom w:val="single" w:color="auto" w:sz="4" w:space="0"/>
              <w:right w:val="single" w:color="auto" w:sz="8" w:space="0"/>
            </w:tcBorders>
            <w:tcMar>
              <w:top w:w="17" w:type="dxa"/>
              <w:left w:w="17" w:type="dxa"/>
              <w:bottom w:w="17" w:type="dxa"/>
              <w:right w:w="17" w:type="dxa"/>
            </w:tcMar>
            <w:vAlign w:val="center"/>
          </w:tcPr>
          <w:p w14:paraId="6EA29D3E">
            <w:pPr>
              <w:widowControl/>
              <w:spacing w:line="260" w:lineRule="exact"/>
              <w:jc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Cs w:val="21"/>
              </w:rPr>
              <w:t>消防监督管理行政处罚</w:t>
            </w:r>
          </w:p>
        </w:tc>
        <w:tc>
          <w:tcPr>
            <w:tcW w:w="1042"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45DE2FE5">
            <w:pPr>
              <w:widowControl/>
              <w:spacing w:line="260" w:lineRule="exact"/>
              <w:jc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Cs w:val="21"/>
              </w:rPr>
              <w:t>区消防救援大队</w:t>
            </w:r>
          </w:p>
        </w:tc>
        <w:tc>
          <w:tcPr>
            <w:tcW w:w="1498"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0166A4A7">
            <w:pPr>
              <w:widowControl/>
              <w:spacing w:line="260" w:lineRule="exact"/>
              <w:jc w:val="center"/>
              <w:rPr>
                <w:rFonts w:hint="default"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Cs w:val="21"/>
                <w:lang w:val="en-US" w:eastAsia="zh-CN"/>
              </w:rPr>
              <w:t>杜阮镇人民政府</w:t>
            </w:r>
          </w:p>
        </w:tc>
        <w:tc>
          <w:tcPr>
            <w:tcW w:w="3267"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1D5701BD">
            <w:pPr>
              <w:widowControl/>
              <w:spacing w:line="260" w:lineRule="exact"/>
              <w:ind w:firstLine="472"/>
            </w:pPr>
            <w:r>
              <w:rPr>
                <w:rFonts w:hint="eastAsia" w:ascii="仿宋_GB2312" w:hAnsi="仿宋_GB2312" w:eastAsia="仿宋_GB2312" w:cs="仿宋_GB2312"/>
                <w:color w:val="000000"/>
                <w:szCs w:val="21"/>
                <w:lang w:val="en-US" w:eastAsia="zh-CN"/>
              </w:rPr>
              <w:t>八、</w:t>
            </w:r>
            <w:r>
              <w:rPr>
                <w:rFonts w:hint="eastAsia" w:ascii="仿宋_GB2312" w:hAnsi="仿宋_GB2312" w:eastAsia="仿宋_GB2312" w:cs="仿宋_GB2312"/>
                <w:color w:val="000000"/>
                <w:szCs w:val="21"/>
              </w:rPr>
              <w:t>广东省实施《中华人民共和国消防法</w:t>
            </w:r>
            <w:r>
              <w:rPr>
                <w:rFonts w:hint="eastAsia" w:ascii="仿宋_GB2312" w:hAnsi="仿宋_GB2312" w:eastAsia="仿宋_GB2312" w:cs="仿宋_GB2312"/>
                <w:color w:val="000000"/>
                <w:szCs w:val="21"/>
                <w:lang w:eastAsia="zh-CN"/>
              </w:rPr>
              <w:t>》</w:t>
            </w:r>
            <w:r>
              <w:rPr>
                <w:rFonts w:hint="eastAsia" w:ascii="仿宋_GB2312" w:hAnsi="仿宋_GB2312" w:eastAsia="仿宋_GB2312" w:cs="仿宋_GB2312"/>
                <w:color w:val="000000"/>
                <w:szCs w:val="21"/>
              </w:rPr>
              <w:t>办法第四十九条</w:t>
            </w:r>
            <w:r>
              <w:rPr>
                <w:rFonts w:hint="eastAsia" w:ascii="仿宋_GB2312" w:hAnsi="仿宋_GB2312" w:eastAsia="仿宋_GB2312" w:cs="仿宋_GB2312"/>
                <w:color w:val="000000"/>
                <w:szCs w:val="21"/>
                <w:lang w:eastAsia="zh-CN"/>
              </w:rPr>
              <w:t>：</w:t>
            </w:r>
            <w:r>
              <w:rPr>
                <w:rFonts w:hint="eastAsia" w:ascii="仿宋_GB2312" w:hAnsi="仿宋_GB2312" w:eastAsia="仿宋_GB2312" w:cs="仿宋_GB2312"/>
                <w:color w:val="000000"/>
                <w:szCs w:val="21"/>
              </w:rPr>
              <w:t>违反本办法第二十五条第三款规定，在建筑物的公共门厅、疏散通道、安全出口、楼梯间以及不符合消防安全条件的室内场所停放电动自行车、电动摩托车或者为电动自行车、电动摩托车及其电池充电，或者携带电动自行车、电动摩托车及其电池进入电梯轿厢的，由消防救援机构责令立即改正；拒不改正的，对单位处一千元以上五千元以下罚款，对个人处五百元以上一千元以下罚款。</w:t>
            </w:r>
          </w:p>
        </w:tc>
        <w:tc>
          <w:tcPr>
            <w:tcW w:w="3424"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1D29ADE1">
            <w:pPr>
              <w:widowControl/>
              <w:spacing w:line="260" w:lineRule="exact"/>
              <w:ind w:firstLine="420" w:firstLineChars="200"/>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个人和单位</w:t>
            </w:r>
            <w:r>
              <w:rPr>
                <w:rFonts w:hint="eastAsia" w:ascii="仿宋_GB2312" w:hAnsi="仿宋_GB2312" w:eastAsia="仿宋_GB2312" w:cs="仿宋_GB2312"/>
                <w:color w:val="000000"/>
                <w:szCs w:val="21"/>
              </w:rPr>
              <w:t>存在以下消防违法行为，由受委托单位消防行政执法人员</w:t>
            </w:r>
            <w:r>
              <w:rPr>
                <w:rFonts w:hint="eastAsia" w:ascii="仿宋_GB2312" w:hAnsi="仿宋_GB2312" w:eastAsia="仿宋_GB2312" w:cs="仿宋_GB2312"/>
                <w:color w:val="000000"/>
                <w:szCs w:val="21"/>
                <w:lang w:val="en-US" w:eastAsia="zh-CN"/>
              </w:rPr>
              <w:t>依法责令立即改正；拒不改正的，对单位处一千元以上五千元以下罚款，对个人处五百元以上一千元以下罚款的处罚：</w:t>
            </w:r>
          </w:p>
          <w:p w14:paraId="7FB8907D">
            <w:pPr>
              <w:widowControl/>
              <w:spacing w:line="260" w:lineRule="exact"/>
              <w:ind w:firstLine="472"/>
              <w:rPr>
                <w:rFonts w:hint="default"/>
                <w:lang w:val="en-US" w:eastAsia="zh-CN"/>
              </w:rPr>
            </w:pPr>
            <w:r>
              <w:rPr>
                <w:rFonts w:hint="eastAsia" w:ascii="仿宋_GB2312" w:hAnsi="仿宋_GB2312" w:eastAsia="仿宋_GB2312" w:cs="仿宋_GB2312"/>
                <w:color w:val="000000"/>
                <w:szCs w:val="21"/>
              </w:rPr>
              <w:t>在建筑物的公共门厅、疏散通道、安全出口、楼梯间以及不符合消防安全条件的室内场所停放电动自行车、电动摩托车，或者为电动自行车、电动摩托车及其电池充电；携带电动自行车、电动摩托车及其电池进入电梯轿厢。</w:t>
            </w:r>
          </w:p>
        </w:tc>
      </w:tr>
    </w:tbl>
    <w:p w14:paraId="466E1F58">
      <w:pPr>
        <w:widowControl/>
        <w:rPr>
          <w:rFonts w:ascii="仿宋_GB2312" w:hAnsi="仿宋_GB2312" w:eastAsia="仿宋_GB2312" w:cs="仿宋_GB2312"/>
          <w:color w:val="000000"/>
          <w:sz w:val="32"/>
          <w:szCs w:val="32"/>
        </w:rPr>
      </w:pPr>
    </w:p>
    <w:p w14:paraId="53FA217C"/>
    <w:p w14:paraId="3B9F291F">
      <w:pPr>
        <w:pStyle w:val="2"/>
        <w:rPr>
          <w:rFonts w:hint="eastAsia"/>
          <w:lang w:val="en-US" w:eastAsia="zh-CN"/>
        </w:rPr>
      </w:pPr>
    </w:p>
    <w:sectPr>
      <w:headerReference r:id="rId3" w:type="default"/>
      <w:footerReference r:id="rId4" w:type="default"/>
      <w:pgSz w:w="11906" w:h="16838"/>
      <w:pgMar w:top="2098" w:right="1531" w:bottom="1985" w:left="1531" w:header="851" w:footer="1247" w:gutter="0"/>
      <w:pgNumType w:fmt="decimal" w:start="1"/>
      <w:cols w:space="72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FB047">
    <w:pPr>
      <w:pStyle w:val="13"/>
    </w:pPr>
    <w:r>
      <w:rPr>
        <w:sz w:val="18"/>
      </w:rP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15A2B7A">
                          <w:pPr>
                            <w:pStyle w:val="13"/>
                          </w:pPr>
                          <w:r>
                            <w:t xml:space="preserve">— </w:t>
                          </w:r>
                          <w:r>
                            <w:fldChar w:fldCharType="begin"/>
                          </w:r>
                          <w:r>
                            <w:instrText xml:space="preserve"> PAGE  \* MERGEFORMAT </w:instrText>
                          </w:r>
                          <w:r>
                            <w:fldChar w:fldCharType="separate"/>
                          </w:r>
                          <w:r>
                            <w:t>2</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715A2B7A">
                    <w:pPr>
                      <w:pStyle w:val="13"/>
                    </w:pPr>
                    <w:r>
                      <w:t xml:space="preserve">— </w:t>
                    </w:r>
                    <w:r>
                      <w:fldChar w:fldCharType="begin"/>
                    </w:r>
                    <w:r>
                      <w:instrText xml:space="preserve"> PAGE  \* MERGEFORMAT </w:instrText>
                    </w:r>
                    <w:r>
                      <w:fldChar w:fldCharType="separate"/>
                    </w:r>
                    <w:r>
                      <w:t>2</w:t>
                    </w:r>
                    <w:r>
                      <w:fldChar w:fldCharType="end"/>
                    </w:r>
                    <w:r>
                      <w:t xml:space="preserve"> —</w:t>
                    </w:r>
                  </w:p>
                </w:txbxContent>
              </v:textbox>
            </v:shape>
          </w:pict>
        </mc:Fallback>
      </mc:AlternateContent>
    </w:r>
    <w:r>
      <w:rPr>
        <w:sz w:val="18"/>
      </w:rPr>
      <mc:AlternateContent>
        <mc:Choice Requires="wps">
          <w:drawing>
            <wp:anchor distT="0" distB="0" distL="114300" distR="114300" simplePos="0" relativeHeight="251662336" behindDoc="0" locked="0" layoutInCell="1" allowOverlap="1">
              <wp:simplePos x="0" y="0"/>
              <wp:positionH relativeFrom="margin">
                <wp:posOffset>5156200</wp:posOffset>
              </wp:positionH>
              <wp:positionV relativeFrom="paragraph">
                <wp:posOffset>-135255</wp:posOffset>
              </wp:positionV>
              <wp:extent cx="459740" cy="273050"/>
              <wp:effectExtent l="0" t="0" r="0" b="0"/>
              <wp:wrapNone/>
              <wp:docPr id="3" name="文本框 3"/>
              <wp:cNvGraphicFramePr/>
              <a:graphic xmlns:a="http://schemas.openxmlformats.org/drawingml/2006/main">
                <a:graphicData uri="http://schemas.microsoft.com/office/word/2010/wordprocessingShape">
                  <wps:wsp>
                    <wps:cNvSpPr txBox="1"/>
                    <wps:spPr>
                      <a:xfrm>
                        <a:off x="0" y="0"/>
                        <a:ext cx="459740" cy="2730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05BD2D"/>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406pt;margin-top:-10.65pt;height:21.5pt;width:36.2pt;mso-position-horizontal-relative:margin;z-index:251662336;mso-width-relative:page;mso-height-relative:page;" filled="f" stroked="f" coordsize="21600,21600" o:gfxdata="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cbAk/2AAAAAoBAAAPAAAAAAAAAAEAIAAAACIAAABkcnMvZG93bnJl&#10;di54bWxQSwECFAAUAAAACACHTuJARCghlDYCAABhBAAADgAAAAAAAAABACAAAAAnAQAAZHJzL2Uy&#10;b0RvYy54bWxQSwUGAAAAAAYABgBZAQAAzwUAAAAA&#10;">
              <v:fill on="f" focussize="0,0"/>
              <v:stroke on="f" weight="0.5pt"/>
              <v:imagedata o:title=""/>
              <o:lock v:ext="edit" aspectratio="f"/>
              <v:textbox inset="0mm,0mm,0mm,0mm">
                <w:txbxContent>
                  <w:p w14:paraId="2A05BD2D"/>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posOffset>5180965</wp:posOffset>
              </wp:positionH>
              <wp:positionV relativeFrom="paragraph">
                <wp:posOffset>-317500</wp:posOffset>
              </wp:positionV>
              <wp:extent cx="577850" cy="508635"/>
              <wp:effectExtent l="0" t="0" r="0" b="0"/>
              <wp:wrapNone/>
              <wp:docPr id="7" name="文本框 6"/>
              <wp:cNvGraphicFramePr/>
              <a:graphic xmlns:a="http://schemas.openxmlformats.org/drawingml/2006/main">
                <a:graphicData uri="http://schemas.microsoft.com/office/word/2010/wordprocessingShape">
                  <wps:wsp>
                    <wps:cNvSpPr txBox="1"/>
                    <wps:spPr>
                      <a:xfrm>
                        <a:off x="0" y="0"/>
                        <a:ext cx="577850" cy="508635"/>
                      </a:xfrm>
                      <a:prstGeom prst="rect">
                        <a:avLst/>
                      </a:prstGeom>
                      <a:noFill/>
                      <a:ln w="15875">
                        <a:noFill/>
                      </a:ln>
                    </wps:spPr>
                    <wps:txbx>
                      <w:txbxContent>
                        <w:p w14:paraId="1F98B325">
                          <w:pPr>
                            <w:rPr>
                              <w:rFonts w:hint="eastAsia"/>
                            </w:rPr>
                          </w:pPr>
                        </w:p>
                      </w:txbxContent>
                    </wps:txbx>
                    <wps:bodyPr wrap="square" lIns="0" tIns="0" rIns="0" bIns="0" upright="0">
                      <a:noAutofit/>
                    </wps:bodyPr>
                  </wps:wsp>
                </a:graphicData>
              </a:graphic>
            </wp:anchor>
          </w:drawing>
        </mc:Choice>
        <mc:Fallback>
          <w:pict>
            <v:shape id="文本框 6" o:spid="_x0000_s1026" o:spt="202" type="#_x0000_t202" style="position:absolute;left:0pt;margin-left:407.95pt;margin-top:-25pt;height:40.05pt;width:45.5pt;mso-position-horizontal-relative:margin;z-index:251660288;mso-width-relative:page;mso-height-relative:page;" filled="f" stroked="f" coordsize="21600,21600" o:gfxdata="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OFGJSNgAAAAKAQAADwAAAAAAAAAB&#10;ACAAAAAiAAAAZHJzL2Rvd25yZXYueG1sUEsBAhQAFAAAAAgAh07iQO6APHnXAQAAowMAAA4AAAAA&#10;AAAAAQAgAAAAJwEAAGRycy9lMm9Eb2MueG1sUEsFBgAAAAAGAAYAWQEAAHAFAAAAAA==&#10;">
              <v:fill on="f" focussize="0,0"/>
              <v:stroke on="f" weight="1.25pt"/>
              <v:imagedata o:title=""/>
              <o:lock v:ext="edit" aspectratio="f"/>
              <v:textbox inset="0mm,0mm,0mm,0mm">
                <w:txbxContent>
                  <w:p w14:paraId="1F98B325">
                    <w:pPr>
                      <w:rPr>
                        <w:rFonts w:hint="eastAsia"/>
                      </w:rPr>
                    </w:pPr>
                  </w:p>
                </w:txbxContent>
              </v:textbox>
            </v:shape>
          </w:pict>
        </mc:Fallback>
      </mc:AlternateContent>
    </w:r>
    <w:r>
      <w:rPr>
        <w:sz w:val="18"/>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7156AE">
                          <w:pPr>
                            <w:pStyle w:val="13"/>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07156AE">
                    <w:pPr>
                      <w:pStyle w:val="13"/>
                    </w:pP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posOffset>3013710</wp:posOffset>
              </wp:positionH>
              <wp:positionV relativeFrom="paragraph">
                <wp:posOffset>-47625</wp:posOffset>
              </wp:positionV>
              <wp:extent cx="1828800" cy="1828800"/>
              <wp:effectExtent l="0" t="0" r="0" b="0"/>
              <wp:wrapNone/>
              <wp:docPr id="6"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112C32D9">
                          <w:pPr>
                            <w:rPr>
                              <w:rFonts w:hint="eastAsia"/>
                            </w:rPr>
                          </w:pPr>
                        </w:p>
                      </w:txbxContent>
                    </wps:txbx>
                    <wps:bodyPr wrap="none" lIns="0" tIns="0" rIns="0" bIns="0" upright="0">
                      <a:spAutoFit/>
                    </wps:bodyPr>
                  </wps:wsp>
                </a:graphicData>
              </a:graphic>
            </wp:anchor>
          </w:drawing>
        </mc:Choice>
        <mc:Fallback>
          <w:pict>
            <v:shape id="文本框 1025" o:spid="_x0000_s1026" o:spt="202" type="#_x0000_t202" style="position:absolute;left:0pt;margin-left:237.3pt;margin-top:-3.75pt;height:144pt;width:144pt;mso-position-horizontal-relative:margin;mso-wrap-style:none;z-index:251659264;mso-width-relative:page;mso-height-relative:page;" filled="f" stroked="f" coordsize="21600,21600" o:gfxdata="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Awa44/2gAAAAoBAAAPAAAAAAAAAAEA&#10;IAAAACIAAABkcnMvZG93bnJldi54bWxQSwECFAAUAAAACACHTuJAkECTHNQBAACmAwAADgAAAAAA&#10;AAABACAAAAApAQAAZHJzL2Uyb0RvYy54bWxQSwUGAAAAAAYABgBZAQAAbwUAAAAA&#10;">
              <v:fill on="f" focussize="0,0"/>
              <v:stroke on="f" weight="1.25pt"/>
              <v:imagedata o:title=""/>
              <o:lock v:ext="edit" aspectratio="f"/>
              <v:textbox inset="0mm,0mm,0mm,0mm" style="mso-fit-shape-to-text:t;">
                <w:txbxContent>
                  <w:p w14:paraId="112C32D9">
                    <w:pPr>
                      <w:rPr>
                        <w:rFonts w:hint="eastAsia"/>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A26004">
    <w:pPr>
      <w:pStyle w:val="1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12D687"/>
    <w:multiLevelType w:val="singleLevel"/>
    <w:tmpl w:val="0112D687"/>
    <w:lvl w:ilvl="0" w:tentative="0">
      <w:start w:val="2"/>
      <w:numFmt w:val="chineseCounting"/>
      <w:suff w:val="nothing"/>
      <w:lvlText w:val="%1、"/>
      <w:lvlJc w:val="left"/>
      <w:rPr>
        <w:rFonts w:hint="eastAsia"/>
      </w:rPr>
    </w:lvl>
  </w:abstractNum>
  <w:abstractNum w:abstractNumId="1">
    <w:nsid w:val="28C8CD95"/>
    <w:multiLevelType w:val="singleLevel"/>
    <w:tmpl w:val="28C8CD95"/>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210"/>
  <w:drawingGridVerticalSpacing w:val="158"/>
  <w:displayHorizontalDrawingGridEvery w:val="1"/>
  <w:displayVerticalDrawingGridEvery w:val="2"/>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yOWM0NzlkZWFlODRkYmM2YjBhYjY4YzJkNWRjNjAifQ=="/>
  </w:docVars>
  <w:rsids>
    <w:rsidRoot w:val="00172A27"/>
    <w:rsid w:val="00037DB8"/>
    <w:rsid w:val="000C2D1C"/>
    <w:rsid w:val="000F07B6"/>
    <w:rsid w:val="001408A9"/>
    <w:rsid w:val="001443C2"/>
    <w:rsid w:val="001E4535"/>
    <w:rsid w:val="001F7FC8"/>
    <w:rsid w:val="00222726"/>
    <w:rsid w:val="002559AD"/>
    <w:rsid w:val="00272AE2"/>
    <w:rsid w:val="00283E36"/>
    <w:rsid w:val="002867DB"/>
    <w:rsid w:val="002905F8"/>
    <w:rsid w:val="00291A17"/>
    <w:rsid w:val="002B35F1"/>
    <w:rsid w:val="0036400A"/>
    <w:rsid w:val="003B4D61"/>
    <w:rsid w:val="003D4B19"/>
    <w:rsid w:val="003E4169"/>
    <w:rsid w:val="003F1040"/>
    <w:rsid w:val="003F7741"/>
    <w:rsid w:val="00405E46"/>
    <w:rsid w:val="00411524"/>
    <w:rsid w:val="004D1DA9"/>
    <w:rsid w:val="005527AA"/>
    <w:rsid w:val="00561BE0"/>
    <w:rsid w:val="0060756F"/>
    <w:rsid w:val="00610AE3"/>
    <w:rsid w:val="006375A3"/>
    <w:rsid w:val="0065086A"/>
    <w:rsid w:val="0067298C"/>
    <w:rsid w:val="006D23AF"/>
    <w:rsid w:val="00732B69"/>
    <w:rsid w:val="0077409C"/>
    <w:rsid w:val="00790134"/>
    <w:rsid w:val="008076C7"/>
    <w:rsid w:val="00865943"/>
    <w:rsid w:val="00884EFB"/>
    <w:rsid w:val="008B259B"/>
    <w:rsid w:val="008F3BDA"/>
    <w:rsid w:val="008F7A4E"/>
    <w:rsid w:val="00947D07"/>
    <w:rsid w:val="0098434A"/>
    <w:rsid w:val="009A346D"/>
    <w:rsid w:val="009E2781"/>
    <w:rsid w:val="00A762B6"/>
    <w:rsid w:val="00AA6CD5"/>
    <w:rsid w:val="00AA71E9"/>
    <w:rsid w:val="00AB6A7B"/>
    <w:rsid w:val="00AD366C"/>
    <w:rsid w:val="00B32692"/>
    <w:rsid w:val="00BA4898"/>
    <w:rsid w:val="00BE3E2F"/>
    <w:rsid w:val="00C22BBC"/>
    <w:rsid w:val="00C26814"/>
    <w:rsid w:val="00C27118"/>
    <w:rsid w:val="00C47B7F"/>
    <w:rsid w:val="00C53A97"/>
    <w:rsid w:val="00C72908"/>
    <w:rsid w:val="00CA3001"/>
    <w:rsid w:val="00CE6B40"/>
    <w:rsid w:val="00D82A7E"/>
    <w:rsid w:val="00D8502A"/>
    <w:rsid w:val="00D9020C"/>
    <w:rsid w:val="00DC47F1"/>
    <w:rsid w:val="00DD28CC"/>
    <w:rsid w:val="00DD4C72"/>
    <w:rsid w:val="00DF652C"/>
    <w:rsid w:val="00E32A05"/>
    <w:rsid w:val="00E87956"/>
    <w:rsid w:val="00EA3433"/>
    <w:rsid w:val="00EE2618"/>
    <w:rsid w:val="00F308C4"/>
    <w:rsid w:val="00F33E65"/>
    <w:rsid w:val="00FC30DC"/>
    <w:rsid w:val="01004E94"/>
    <w:rsid w:val="01C0029C"/>
    <w:rsid w:val="02320877"/>
    <w:rsid w:val="02BB1707"/>
    <w:rsid w:val="02C2550D"/>
    <w:rsid w:val="02DB6ED7"/>
    <w:rsid w:val="04487DB0"/>
    <w:rsid w:val="04750F48"/>
    <w:rsid w:val="05230C56"/>
    <w:rsid w:val="05306958"/>
    <w:rsid w:val="05343787"/>
    <w:rsid w:val="05A336FF"/>
    <w:rsid w:val="065F0C8A"/>
    <w:rsid w:val="07A717E8"/>
    <w:rsid w:val="08CE1303"/>
    <w:rsid w:val="095F6DC8"/>
    <w:rsid w:val="09627D9F"/>
    <w:rsid w:val="09921807"/>
    <w:rsid w:val="09B00615"/>
    <w:rsid w:val="0AA6792B"/>
    <w:rsid w:val="0AD25D6A"/>
    <w:rsid w:val="0B0B6F27"/>
    <w:rsid w:val="0B103918"/>
    <w:rsid w:val="0B296F63"/>
    <w:rsid w:val="0B8E6602"/>
    <w:rsid w:val="0D037C47"/>
    <w:rsid w:val="0D885272"/>
    <w:rsid w:val="0ED64DA9"/>
    <w:rsid w:val="0EF0712E"/>
    <w:rsid w:val="0FA864DA"/>
    <w:rsid w:val="105C0E9C"/>
    <w:rsid w:val="10ED6AD7"/>
    <w:rsid w:val="11C80C1B"/>
    <w:rsid w:val="12BD5F95"/>
    <w:rsid w:val="15814DF8"/>
    <w:rsid w:val="15FA4976"/>
    <w:rsid w:val="168C74CD"/>
    <w:rsid w:val="17917AAF"/>
    <w:rsid w:val="17C46ECA"/>
    <w:rsid w:val="18422DFB"/>
    <w:rsid w:val="185D05CC"/>
    <w:rsid w:val="186D5EFE"/>
    <w:rsid w:val="19130996"/>
    <w:rsid w:val="192C104A"/>
    <w:rsid w:val="19F648F6"/>
    <w:rsid w:val="1E81189E"/>
    <w:rsid w:val="1EE41C03"/>
    <w:rsid w:val="1EF155D7"/>
    <w:rsid w:val="1F16331A"/>
    <w:rsid w:val="1F531E41"/>
    <w:rsid w:val="1FD37E28"/>
    <w:rsid w:val="208930A4"/>
    <w:rsid w:val="211A48E1"/>
    <w:rsid w:val="214A0FDE"/>
    <w:rsid w:val="2172319F"/>
    <w:rsid w:val="21B817F7"/>
    <w:rsid w:val="2227253F"/>
    <w:rsid w:val="23197346"/>
    <w:rsid w:val="231A4ABE"/>
    <w:rsid w:val="23EF1AC9"/>
    <w:rsid w:val="23EF4001"/>
    <w:rsid w:val="252025E5"/>
    <w:rsid w:val="26E5600F"/>
    <w:rsid w:val="26F74340"/>
    <w:rsid w:val="274A1E8E"/>
    <w:rsid w:val="27503EDD"/>
    <w:rsid w:val="291D30E4"/>
    <w:rsid w:val="295B4C57"/>
    <w:rsid w:val="296515D0"/>
    <w:rsid w:val="298F18A4"/>
    <w:rsid w:val="29AB6046"/>
    <w:rsid w:val="29EA7544"/>
    <w:rsid w:val="2A1235EA"/>
    <w:rsid w:val="2A89524D"/>
    <w:rsid w:val="2AE674AF"/>
    <w:rsid w:val="2B094D56"/>
    <w:rsid w:val="2B1F5BF3"/>
    <w:rsid w:val="2BCC1D0A"/>
    <w:rsid w:val="2D5B2456"/>
    <w:rsid w:val="2DD31B1E"/>
    <w:rsid w:val="2DEC759C"/>
    <w:rsid w:val="2E24797F"/>
    <w:rsid w:val="2EE96CB4"/>
    <w:rsid w:val="2F410452"/>
    <w:rsid w:val="2F7F6062"/>
    <w:rsid w:val="2F9249F5"/>
    <w:rsid w:val="30EE25EA"/>
    <w:rsid w:val="30F24CAA"/>
    <w:rsid w:val="3180475F"/>
    <w:rsid w:val="31DD310D"/>
    <w:rsid w:val="33E37638"/>
    <w:rsid w:val="342C383E"/>
    <w:rsid w:val="34702E1A"/>
    <w:rsid w:val="34A00FA2"/>
    <w:rsid w:val="3513391B"/>
    <w:rsid w:val="398A04C4"/>
    <w:rsid w:val="39D77A91"/>
    <w:rsid w:val="39F64584"/>
    <w:rsid w:val="3A531726"/>
    <w:rsid w:val="3A9E2E3D"/>
    <w:rsid w:val="3B9807A3"/>
    <w:rsid w:val="3C7911A9"/>
    <w:rsid w:val="3C825335"/>
    <w:rsid w:val="3D4879E6"/>
    <w:rsid w:val="3D534932"/>
    <w:rsid w:val="3D8A6E3C"/>
    <w:rsid w:val="3E1F0B10"/>
    <w:rsid w:val="3F4206FE"/>
    <w:rsid w:val="3F9C61BB"/>
    <w:rsid w:val="40213FA1"/>
    <w:rsid w:val="423F3B81"/>
    <w:rsid w:val="42634D93"/>
    <w:rsid w:val="45F20525"/>
    <w:rsid w:val="472A4531"/>
    <w:rsid w:val="47692EC5"/>
    <w:rsid w:val="485B7E13"/>
    <w:rsid w:val="48F27652"/>
    <w:rsid w:val="49352CB1"/>
    <w:rsid w:val="4A6D2ABF"/>
    <w:rsid w:val="4AF81D3A"/>
    <w:rsid w:val="4B1F1172"/>
    <w:rsid w:val="4BC4508E"/>
    <w:rsid w:val="4BE32AE1"/>
    <w:rsid w:val="4C3B6641"/>
    <w:rsid w:val="4C946C67"/>
    <w:rsid w:val="4CA21718"/>
    <w:rsid w:val="4D544E1D"/>
    <w:rsid w:val="4DDE1EAC"/>
    <w:rsid w:val="4E3242FE"/>
    <w:rsid w:val="4E70294C"/>
    <w:rsid w:val="4ED96D46"/>
    <w:rsid w:val="501243DE"/>
    <w:rsid w:val="50DB6623"/>
    <w:rsid w:val="51EC1146"/>
    <w:rsid w:val="530110D0"/>
    <w:rsid w:val="53330831"/>
    <w:rsid w:val="53A20719"/>
    <w:rsid w:val="561B7187"/>
    <w:rsid w:val="59557320"/>
    <w:rsid w:val="5A364D93"/>
    <w:rsid w:val="5AE00E3A"/>
    <w:rsid w:val="5BA30AC5"/>
    <w:rsid w:val="5BF43967"/>
    <w:rsid w:val="5C3D63AC"/>
    <w:rsid w:val="5CAD5524"/>
    <w:rsid w:val="5CD370B3"/>
    <w:rsid w:val="5EAF74AB"/>
    <w:rsid w:val="5EB114D3"/>
    <w:rsid w:val="62416374"/>
    <w:rsid w:val="63DC0993"/>
    <w:rsid w:val="648A6492"/>
    <w:rsid w:val="64AE4DE2"/>
    <w:rsid w:val="65E502DC"/>
    <w:rsid w:val="67E71CBF"/>
    <w:rsid w:val="686632AB"/>
    <w:rsid w:val="6981540C"/>
    <w:rsid w:val="6A5D590A"/>
    <w:rsid w:val="6CF05FEC"/>
    <w:rsid w:val="6D82411D"/>
    <w:rsid w:val="6E2A61C5"/>
    <w:rsid w:val="6F7F3022"/>
    <w:rsid w:val="6FE77415"/>
    <w:rsid w:val="70705729"/>
    <w:rsid w:val="70A84617"/>
    <w:rsid w:val="712F65B4"/>
    <w:rsid w:val="71AA3E3C"/>
    <w:rsid w:val="73A471F9"/>
    <w:rsid w:val="741038E2"/>
    <w:rsid w:val="75911A07"/>
    <w:rsid w:val="75B36E59"/>
    <w:rsid w:val="76056FDF"/>
    <w:rsid w:val="764D6FB3"/>
    <w:rsid w:val="771A55A7"/>
    <w:rsid w:val="782D70C6"/>
    <w:rsid w:val="78C55707"/>
    <w:rsid w:val="797F6C94"/>
    <w:rsid w:val="798B6ADC"/>
    <w:rsid w:val="7A034D64"/>
    <w:rsid w:val="7AFB2802"/>
    <w:rsid w:val="7BB14BFB"/>
    <w:rsid w:val="7C433BB1"/>
    <w:rsid w:val="7C4657E7"/>
    <w:rsid w:val="7C9B28F0"/>
    <w:rsid w:val="7DD66188"/>
    <w:rsid w:val="7E652860"/>
    <w:rsid w:val="7F4D5DA6"/>
    <w:rsid w:val="7F676FC8"/>
    <w:rsid w:val="7FF76C79"/>
    <w:rsid w:val="7FFD769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0" w:semiHidden="0" w:name="Normal Indent"/>
    <w:lsdException w:qFormat="1" w:uiPriority="99" w:semiHidden="0"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qFormat="1" w:uiPriority="0"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5">
    <w:name w:val="heading 1"/>
    <w:basedOn w:val="1"/>
    <w:next w:val="1"/>
    <w:qFormat/>
    <w:uiPriority w:val="0"/>
    <w:pPr>
      <w:jc w:val="center"/>
      <w:outlineLvl w:val="0"/>
    </w:pPr>
    <w:rPr>
      <w:rFonts w:ascii="黑体" w:hAnsi="宋体" w:eastAsia="黑体"/>
      <w:sz w:val="28"/>
      <w:szCs w:val="28"/>
    </w:rPr>
  </w:style>
  <w:style w:type="character" w:default="1" w:styleId="23">
    <w:name w:val="Default Paragraph Font"/>
    <w:unhideWhenUsed/>
    <w:qFormat/>
    <w:uiPriority w:val="1"/>
  </w:style>
  <w:style w:type="table" w:default="1" w:styleId="22">
    <w:name w:val="Normal Table"/>
    <w:unhideWhenUsed/>
    <w:qFormat/>
    <w:uiPriority w:val="99"/>
    <w:tblPr>
      <w:tblCellMar>
        <w:top w:w="0" w:type="dxa"/>
        <w:left w:w="108" w:type="dxa"/>
        <w:bottom w:w="0" w:type="dxa"/>
        <w:right w:w="108" w:type="dxa"/>
      </w:tblCellMar>
    </w:tblPr>
  </w:style>
  <w:style w:type="paragraph" w:customStyle="1" w:styleId="2">
    <w:name w:val="BodyText1I2"/>
    <w:basedOn w:val="3"/>
    <w:qFormat/>
    <w:uiPriority w:val="0"/>
    <w:pPr>
      <w:ind w:firstLine="420" w:firstLineChars="200"/>
    </w:pPr>
  </w:style>
  <w:style w:type="paragraph" w:customStyle="1" w:styleId="3">
    <w:name w:val="BodyTextIndent"/>
    <w:basedOn w:val="1"/>
    <w:next w:val="4"/>
    <w:qFormat/>
    <w:uiPriority w:val="0"/>
    <w:pPr>
      <w:spacing w:after="120"/>
      <w:ind w:left="420" w:leftChars="200"/>
      <w:textAlignment w:val="baseline"/>
    </w:pPr>
    <w:rPr>
      <w:rFonts w:cs="Times New Roman"/>
    </w:rPr>
  </w:style>
  <w:style w:type="paragraph" w:customStyle="1" w:styleId="4">
    <w:name w:val="NormalIndent"/>
    <w:basedOn w:val="1"/>
    <w:autoRedefine/>
    <w:qFormat/>
    <w:uiPriority w:val="0"/>
    <w:pPr>
      <w:ind w:firstLine="420" w:firstLineChars="200"/>
      <w:textAlignment w:val="baseline"/>
    </w:pPr>
    <w:rPr>
      <w:rFonts w:eastAsia="仿宋" w:cs="Times New Roman"/>
      <w:sz w:val="32"/>
    </w:rPr>
  </w:style>
  <w:style w:type="paragraph" w:styleId="6">
    <w:name w:val="Normal Indent"/>
    <w:basedOn w:val="1"/>
    <w:next w:val="1"/>
    <w:autoRedefine/>
    <w:unhideWhenUsed/>
    <w:qFormat/>
    <w:uiPriority w:val="0"/>
    <w:pPr>
      <w:ind w:firstLine="420" w:firstLineChars="200"/>
    </w:pPr>
    <w:rPr>
      <w:rFonts w:eastAsia="仿宋"/>
      <w:sz w:val="32"/>
    </w:rPr>
  </w:style>
  <w:style w:type="paragraph" w:styleId="7">
    <w:name w:val="annotation text"/>
    <w:basedOn w:val="1"/>
    <w:link w:val="30"/>
    <w:unhideWhenUsed/>
    <w:qFormat/>
    <w:uiPriority w:val="99"/>
    <w:pPr>
      <w:jc w:val="left"/>
    </w:pPr>
  </w:style>
  <w:style w:type="paragraph" w:styleId="8">
    <w:name w:val="Body Text"/>
    <w:basedOn w:val="1"/>
    <w:autoRedefine/>
    <w:qFormat/>
    <w:uiPriority w:val="0"/>
    <w:pPr>
      <w:jc w:val="center"/>
    </w:pPr>
    <w:rPr>
      <w:rFonts w:eastAsia="方正小标宋简体"/>
      <w:sz w:val="36"/>
    </w:rPr>
  </w:style>
  <w:style w:type="paragraph" w:styleId="9">
    <w:name w:val="Body Text Indent"/>
    <w:basedOn w:val="1"/>
    <w:next w:val="6"/>
    <w:unhideWhenUsed/>
    <w:qFormat/>
    <w:uiPriority w:val="99"/>
    <w:pPr>
      <w:spacing w:after="120"/>
      <w:ind w:left="420" w:leftChars="200"/>
    </w:pPr>
  </w:style>
  <w:style w:type="paragraph" w:styleId="10">
    <w:name w:val="Plain Text"/>
    <w:basedOn w:val="1"/>
    <w:autoRedefine/>
    <w:unhideWhenUsed/>
    <w:qFormat/>
    <w:uiPriority w:val="0"/>
    <w:rPr>
      <w:rFonts w:ascii="宋体" w:hAnsi="Courier New" w:eastAsia="宋体"/>
      <w:sz w:val="21"/>
      <w:szCs w:val="21"/>
    </w:rPr>
  </w:style>
  <w:style w:type="paragraph" w:styleId="11">
    <w:name w:val="Date"/>
    <w:basedOn w:val="1"/>
    <w:next w:val="1"/>
    <w:link w:val="31"/>
    <w:autoRedefine/>
    <w:unhideWhenUsed/>
    <w:qFormat/>
    <w:uiPriority w:val="99"/>
    <w:pPr>
      <w:ind w:left="100" w:leftChars="2500"/>
    </w:pPr>
  </w:style>
  <w:style w:type="paragraph" w:styleId="12">
    <w:name w:val="Balloon Text"/>
    <w:basedOn w:val="1"/>
    <w:link w:val="32"/>
    <w:unhideWhenUsed/>
    <w:qFormat/>
    <w:uiPriority w:val="99"/>
    <w:rPr>
      <w:sz w:val="18"/>
      <w:szCs w:val="18"/>
    </w:rPr>
  </w:style>
  <w:style w:type="paragraph" w:styleId="13">
    <w:name w:val="footer"/>
    <w:basedOn w:val="1"/>
    <w:link w:val="33"/>
    <w:unhideWhenUsed/>
    <w:qFormat/>
    <w:uiPriority w:val="99"/>
    <w:pPr>
      <w:tabs>
        <w:tab w:val="center" w:pos="4153"/>
        <w:tab w:val="right" w:pos="8306"/>
      </w:tabs>
      <w:snapToGrid w:val="0"/>
      <w:jc w:val="left"/>
    </w:pPr>
    <w:rPr>
      <w:sz w:val="18"/>
      <w:szCs w:val="18"/>
    </w:rPr>
  </w:style>
  <w:style w:type="paragraph" w:styleId="14">
    <w:name w:val="header"/>
    <w:basedOn w:val="1"/>
    <w:link w:val="34"/>
    <w:unhideWhenUsed/>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autoRedefine/>
    <w:qFormat/>
    <w:uiPriority w:val="0"/>
  </w:style>
  <w:style w:type="paragraph" w:styleId="16">
    <w:name w:val="footnote text"/>
    <w:basedOn w:val="1"/>
    <w:link w:val="35"/>
    <w:unhideWhenUsed/>
    <w:qFormat/>
    <w:uiPriority w:val="99"/>
    <w:pPr>
      <w:snapToGrid w:val="0"/>
      <w:jc w:val="left"/>
    </w:pPr>
    <w:rPr>
      <w:sz w:val="18"/>
      <w:szCs w:val="18"/>
    </w:rPr>
  </w:style>
  <w:style w:type="paragraph" w:styleId="17">
    <w:name w:val="Body Text 2"/>
    <w:basedOn w:val="1"/>
    <w:qFormat/>
    <w:uiPriority w:val="0"/>
    <w:rPr>
      <w:rFonts w:ascii="Times New Roman" w:hAnsi="Times New Roman" w:eastAsia="宋体" w:cs="Times New Roman"/>
      <w:sz w:val="32"/>
      <w:szCs w:val="20"/>
    </w:rPr>
  </w:style>
  <w:style w:type="paragraph" w:styleId="18">
    <w:name w:val="Normal (Web)"/>
    <w:basedOn w:val="1"/>
    <w:unhideWhenUsed/>
    <w:qFormat/>
    <w:uiPriority w:val="0"/>
    <w:pPr>
      <w:widowControl/>
      <w:spacing w:after="150"/>
      <w:jc w:val="left"/>
    </w:pPr>
    <w:rPr>
      <w:rFonts w:ascii="宋体" w:hAnsi="宋体" w:cs="宋体"/>
      <w:kern w:val="0"/>
      <w:sz w:val="24"/>
      <w:szCs w:val="24"/>
    </w:rPr>
  </w:style>
  <w:style w:type="paragraph" w:styleId="19">
    <w:name w:val="Title"/>
    <w:basedOn w:val="1"/>
    <w:next w:val="1"/>
    <w:qFormat/>
    <w:uiPriority w:val="10"/>
    <w:pPr>
      <w:spacing w:before="240" w:after="60"/>
      <w:jc w:val="center"/>
      <w:outlineLvl w:val="0"/>
    </w:pPr>
    <w:rPr>
      <w:rFonts w:ascii="Cambria" w:hAnsi="Cambria" w:eastAsia="宋体" w:cs="Times New Roman"/>
      <w:b/>
      <w:bCs/>
      <w:sz w:val="32"/>
      <w:szCs w:val="32"/>
    </w:rPr>
  </w:style>
  <w:style w:type="paragraph" w:styleId="20">
    <w:name w:val="annotation subject"/>
    <w:basedOn w:val="7"/>
    <w:next w:val="7"/>
    <w:link w:val="36"/>
    <w:unhideWhenUsed/>
    <w:qFormat/>
    <w:uiPriority w:val="99"/>
    <w:rPr>
      <w:b/>
      <w:bCs/>
    </w:rPr>
  </w:style>
  <w:style w:type="paragraph" w:styleId="21">
    <w:name w:val="Body Text First Indent 2"/>
    <w:basedOn w:val="9"/>
    <w:unhideWhenUsed/>
    <w:qFormat/>
    <w:uiPriority w:val="0"/>
    <w:pPr>
      <w:ind w:firstLine="420" w:firstLineChars="200"/>
    </w:pPr>
  </w:style>
  <w:style w:type="character" w:styleId="24">
    <w:name w:val="page number"/>
    <w:basedOn w:val="23"/>
    <w:qFormat/>
    <w:uiPriority w:val="0"/>
  </w:style>
  <w:style w:type="character" w:styleId="25">
    <w:name w:val="FollowedHyperlink"/>
    <w:unhideWhenUsed/>
    <w:qFormat/>
    <w:uiPriority w:val="99"/>
    <w:rPr>
      <w:color w:val="000000"/>
      <w:sz w:val="18"/>
      <w:szCs w:val="18"/>
      <w:u w:val="none"/>
    </w:rPr>
  </w:style>
  <w:style w:type="character" w:styleId="26">
    <w:name w:val="Hyperlink"/>
    <w:autoRedefine/>
    <w:unhideWhenUsed/>
    <w:qFormat/>
    <w:uiPriority w:val="99"/>
    <w:rPr>
      <w:color w:val="000000"/>
      <w:sz w:val="18"/>
      <w:szCs w:val="18"/>
      <w:u w:val="none"/>
    </w:rPr>
  </w:style>
  <w:style w:type="character" w:styleId="27">
    <w:name w:val="annotation reference"/>
    <w:autoRedefine/>
    <w:unhideWhenUsed/>
    <w:qFormat/>
    <w:uiPriority w:val="99"/>
    <w:rPr>
      <w:sz w:val="21"/>
      <w:szCs w:val="21"/>
    </w:rPr>
  </w:style>
  <w:style w:type="character" w:styleId="28">
    <w:name w:val="footnote reference"/>
    <w:unhideWhenUsed/>
    <w:qFormat/>
    <w:uiPriority w:val="99"/>
    <w:rPr>
      <w:vertAlign w:val="superscript"/>
    </w:rPr>
  </w:style>
  <w:style w:type="paragraph" w:customStyle="1" w:styleId="29">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character" w:customStyle="1" w:styleId="30">
    <w:name w:val="批注文字 Char"/>
    <w:link w:val="7"/>
    <w:autoRedefine/>
    <w:semiHidden/>
    <w:qFormat/>
    <w:uiPriority w:val="99"/>
    <w:rPr>
      <w:kern w:val="2"/>
      <w:sz w:val="21"/>
      <w:szCs w:val="22"/>
    </w:rPr>
  </w:style>
  <w:style w:type="character" w:customStyle="1" w:styleId="31">
    <w:name w:val="日期 Char"/>
    <w:link w:val="11"/>
    <w:semiHidden/>
    <w:qFormat/>
    <w:uiPriority w:val="99"/>
    <w:rPr>
      <w:kern w:val="2"/>
      <w:sz w:val="21"/>
      <w:szCs w:val="22"/>
    </w:rPr>
  </w:style>
  <w:style w:type="character" w:customStyle="1" w:styleId="32">
    <w:name w:val="批注框文本 Char"/>
    <w:link w:val="12"/>
    <w:semiHidden/>
    <w:qFormat/>
    <w:uiPriority w:val="99"/>
    <w:rPr>
      <w:kern w:val="2"/>
      <w:sz w:val="18"/>
      <w:szCs w:val="18"/>
    </w:rPr>
  </w:style>
  <w:style w:type="character" w:customStyle="1" w:styleId="33">
    <w:name w:val="页脚 Char"/>
    <w:link w:val="13"/>
    <w:qFormat/>
    <w:uiPriority w:val="99"/>
    <w:rPr>
      <w:kern w:val="2"/>
      <w:sz w:val="18"/>
      <w:szCs w:val="18"/>
    </w:rPr>
  </w:style>
  <w:style w:type="character" w:customStyle="1" w:styleId="34">
    <w:name w:val="页眉 Char"/>
    <w:link w:val="14"/>
    <w:qFormat/>
    <w:uiPriority w:val="0"/>
    <w:rPr>
      <w:kern w:val="2"/>
      <w:sz w:val="18"/>
      <w:szCs w:val="18"/>
    </w:rPr>
  </w:style>
  <w:style w:type="character" w:customStyle="1" w:styleId="35">
    <w:name w:val="脚注文本 Char"/>
    <w:link w:val="16"/>
    <w:autoRedefine/>
    <w:semiHidden/>
    <w:qFormat/>
    <w:uiPriority w:val="99"/>
    <w:rPr>
      <w:kern w:val="2"/>
      <w:sz w:val="18"/>
      <w:szCs w:val="18"/>
    </w:rPr>
  </w:style>
  <w:style w:type="character" w:customStyle="1" w:styleId="36">
    <w:name w:val="批注主题 Char"/>
    <w:link w:val="20"/>
    <w:autoRedefine/>
    <w:semiHidden/>
    <w:qFormat/>
    <w:uiPriority w:val="99"/>
    <w:rPr>
      <w:b/>
      <w:bCs/>
      <w:kern w:val="2"/>
      <w:sz w:val="21"/>
      <w:szCs w:val="22"/>
    </w:rPr>
  </w:style>
  <w:style w:type="character" w:customStyle="1" w:styleId="37">
    <w:name w:val="spl1"/>
    <w:autoRedefine/>
    <w:qFormat/>
    <w:uiPriority w:val="0"/>
    <w:rPr>
      <w:color w:val="474646"/>
      <w:sz w:val="22"/>
      <w:szCs w:val="22"/>
    </w:rPr>
  </w:style>
  <w:style w:type="character" w:customStyle="1" w:styleId="38">
    <w:name w:val="spr1"/>
    <w:basedOn w:val="23"/>
    <w:autoRedefine/>
    <w:qFormat/>
    <w:uiPriority w:val="0"/>
  </w:style>
  <w:style w:type="character" w:customStyle="1" w:styleId="39">
    <w:name w:val="spr"/>
    <w:basedOn w:val="23"/>
    <w:autoRedefine/>
    <w:qFormat/>
    <w:uiPriority w:val="0"/>
  </w:style>
  <w:style w:type="character" w:customStyle="1" w:styleId="40">
    <w:name w:val="spl"/>
    <w:qFormat/>
    <w:uiPriority w:val="0"/>
    <w:rPr>
      <w:color w:val="474646"/>
      <w:sz w:val="22"/>
      <w:szCs w:val="22"/>
    </w:rPr>
  </w:style>
  <w:style w:type="paragraph" w:customStyle="1" w:styleId="41">
    <w:name w:val="修订1"/>
    <w:autoRedefine/>
    <w:semiHidden/>
    <w:qFormat/>
    <w:uiPriority w:val="99"/>
    <w:rPr>
      <w:rFonts w:ascii="Times New Roman" w:hAnsi="Times New Roman" w:eastAsia="宋体" w:cs="Times New Roman"/>
      <w:kern w:val="2"/>
      <w:sz w:val="21"/>
      <w:szCs w:val="22"/>
      <w:lang w:val="en-US" w:eastAsia="zh-CN" w:bidi="ar-SA"/>
    </w:rPr>
  </w:style>
  <w:style w:type="paragraph" w:customStyle="1" w:styleId="42">
    <w:name w:val="WPS Plain"/>
    <w:autoRedefine/>
    <w:qFormat/>
    <w:uiPriority w:val="0"/>
    <w:rPr>
      <w:rFonts w:ascii="Times New Roman" w:hAnsi="Times New Roman" w:eastAsia="宋体" w:cs="Times New Roman"/>
      <w:lang w:val="en-US" w:eastAsia="zh-CN" w:bidi="ar-SA"/>
    </w:rPr>
  </w:style>
  <w:style w:type="paragraph" w:customStyle="1" w:styleId="43">
    <w:name w:val="List Paragraph"/>
    <w:basedOn w:val="1"/>
    <w:autoRedefine/>
    <w:qFormat/>
    <w:uiPriority w:val="0"/>
    <w:pPr>
      <w:ind w:firstLine="420" w:firstLineChars="200"/>
    </w:pPr>
    <w:rPr>
      <w:szCs w:val="21"/>
    </w:rPr>
  </w:style>
  <w:style w:type="paragraph" w:customStyle="1" w:styleId="44">
    <w:name w:val="p0"/>
    <w:basedOn w:val="1"/>
    <w:qFormat/>
    <w:uiPriority w:val="0"/>
    <w:pPr>
      <w:widowControl/>
    </w:pPr>
    <w:rPr>
      <w:kern w:val="0"/>
      <w:szCs w:val="21"/>
    </w:rPr>
  </w:style>
  <w:style w:type="character" w:customStyle="1" w:styleId="45">
    <w:name w:val="a_contentlink_link"/>
    <w:basedOn w:val="23"/>
    <w:autoRedefine/>
    <w:qFormat/>
    <w:uiPriority w:val="0"/>
    <w:rPr>
      <w:rFonts w:ascii="微软雅黑" w:hAnsi="微软雅黑" w:eastAsia="微软雅黑" w:cs="微软雅黑"/>
      <w:color w:val="0000FF"/>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8</Pages>
  <Words>5192</Words>
  <Characters>5204</Characters>
  <Lines>2</Lines>
  <Paragraphs>1</Paragraphs>
  <TotalTime>2</TotalTime>
  <ScaleCrop>false</ScaleCrop>
  <LinksUpToDate>false</LinksUpToDate>
  <CharactersWithSpaces>5320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2020-02-02T03:21:00Z</dcterms:created>
  <dc:creator>微软用户</dc:creator>
  <cp:lastModifiedBy>Caroline</cp:lastModifiedBy>
  <cp:lastPrinted>2022-09-27T05:58:00Z</cp:lastPrinted>
  <dcterms:modified xsi:type="dcterms:W3CDTF">2024-10-18T09:26:59Z</dcterms:modified>
  <dc:title>广东省消防救援总队</dc:title>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74E5D3044E9E44B4B74F79BCDC68BE9E</vt:lpwstr>
  </property>
</Properties>
</file>